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activeX/activeX1.bin" ContentType="application/vnd.ms-office.activeX"/>
  <Override PartName="/word/activeX/activeX1.xml" ContentType="application/vnd.ms-office.activeX+xml"/>
  <Override PartName="/word/activeX/activeX20.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21.xml" ContentType="application/vnd.ms-office.activeX+xml"/>
  <Override PartName="/word/activeX/activeX10.bin" ContentType="application/vnd.ms-office.activeX"/>
  <Override PartName="/word/activeX/activeX3.xml" ContentType="application/vnd.ms-office.activeX+xml"/>
  <Override PartName="/word/activeX/activeX4.xml" ContentType="application/vnd.ms-office.activeX+xml"/>
  <Override PartName="/word/activeX/activeX11.bin" ContentType="application/vnd.ms-office.activeX"/>
  <Override PartName="/word/activeX/activeX4.bin" ContentType="application/vnd.ms-office.activeX"/>
  <Override PartName="/word/activeX/activeX22.xml" ContentType="application/vnd.ms-office.activeX+xml"/>
  <Override PartName="/word/activeX/activeX5.bin" ContentType="application/vnd.ms-office.activeX"/>
  <Override PartName="/word/activeX/activeX23.xml" ContentType="application/vnd.ms-office.activeX+xml"/>
  <Override PartName="/word/activeX/activeX5.xml" ContentType="application/vnd.ms-office.activeX+xml"/>
  <Override PartName="/word/activeX/activeX12.bin" ContentType="application/vnd.ms-office.activeX"/>
  <Override PartName="/word/activeX/activeX6.bin" ContentType="application/vnd.ms-office.activeX"/>
  <Override PartName="/word/activeX/activeX24.xml" ContentType="application/vnd.ms-office.activeX+xml"/>
  <Override PartName="/word/activeX/activeX6.xml" ContentType="application/vnd.ms-office.activeX+xml"/>
  <Override PartName="/word/activeX/activeX13.bin" ContentType="application/vnd.ms-office.activeX"/>
  <Override PartName="/word/activeX/activeX7.bin" ContentType="application/vnd.ms-office.activeX"/>
  <Override PartName="/word/activeX/activeX25.xml" ContentType="application/vnd.ms-office.activeX+xml"/>
  <Override PartName="/word/activeX/activeX7.xml" ContentType="application/vnd.ms-office.activeX+xml"/>
  <Override PartName="/word/activeX/activeX14.bin" ContentType="application/vnd.ms-office.activeX"/>
  <Override PartName="/word/activeX/activeX8.bin" ContentType="application/vnd.ms-office.activeX"/>
  <Override PartName="/word/activeX/activeX26.xml" ContentType="application/vnd.ms-office.activeX+xml"/>
  <Override PartName="/word/activeX/activeX8.xml" ContentType="application/vnd.ms-office.activeX+xml"/>
  <Override PartName="/word/activeX/activeX15.bin" ContentType="application/vnd.ms-office.activeX"/>
  <Override PartName="/word/activeX/activeX9.bin" ContentType="application/vnd.ms-office.activeX"/>
  <Override PartName="/word/activeX/activeX9.xml" ContentType="application/vnd.ms-office.activeX+xml"/>
  <Override PartName="/word/activeX/activeX16.bin" ContentType="application/vnd.ms-office.activeX"/>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0.bin" ContentType="application/vnd.ms-office.activeX"/>
  <Override PartName="/word/activeX/activeX21.bin" ContentType="application/vnd.ms-office.activeX"/>
  <Override PartName="/word/activeX/activeX22.bin" ContentType="application/vnd.ms-office.activeX"/>
  <Override PartName="/word/activeX/activeX23.bin" ContentType="application/vnd.ms-office.activeX"/>
  <Override PartName="/word/activeX/activeX24.bin" ContentType="application/vnd.ms-office.activeX"/>
  <Override PartName="/word/activeX/activeX25.bin" ContentType="application/vnd.ms-office.activeX"/>
  <Override PartName="/word/activeX/activeX26.bin" ContentType="application/vnd.ms-office.activeX"/>
  <Override PartName="/word/activeX/_rels/activeX1.xml.rels" ContentType="application/vnd.openxmlformats-package.relationships+xml"/>
  <Override PartName="/word/activeX/_rels/activeX2.xml.rels" ContentType="application/vnd.openxmlformats-package.relationships+xml"/>
  <Override PartName="/word/activeX/_rels/activeX20.xml.rels" ContentType="application/vnd.openxmlformats-package.relationships+xml"/>
  <Override PartName="/word/activeX/_rels/activeX3.xml.rels" ContentType="application/vnd.openxmlformats-package.relationships+xml"/>
  <Override PartName="/word/activeX/_rels/activeX21.xml.rels" ContentType="application/vnd.openxmlformats-package.relationships+xml"/>
  <Override PartName="/word/activeX/_rels/activeX4.xml.rels" ContentType="application/vnd.openxmlformats-package.relationships+xml"/>
  <Override PartName="/word/activeX/_rels/activeX22.xml.rels" ContentType="application/vnd.openxmlformats-package.relationships+xml"/>
  <Override PartName="/word/activeX/_rels/activeX23.xml.rels" ContentType="application/vnd.openxmlformats-package.relationships+xml"/>
  <Override PartName="/word/activeX/_rels/activeX5.xml.rels" ContentType="application/vnd.openxmlformats-package.relationships+xml"/>
  <Override PartName="/word/activeX/_rels/activeX24.xml.rels" ContentType="application/vnd.openxmlformats-package.relationships+xml"/>
  <Override PartName="/word/activeX/_rels/activeX6.xml.rels" ContentType="application/vnd.openxmlformats-package.relationships+xml"/>
  <Override PartName="/word/activeX/_rels/activeX25.xml.rels" ContentType="application/vnd.openxmlformats-package.relationships+xml"/>
  <Override PartName="/word/activeX/_rels/activeX7.xml.rels" ContentType="application/vnd.openxmlformats-package.relationships+xml"/>
  <Override PartName="/word/activeX/_rels/activeX26.xml.rels" ContentType="application/vnd.openxmlformats-package.relationships+xml"/>
  <Override PartName="/word/activeX/_rels/activeX8.xml.rels" ContentType="application/vnd.openxmlformats-package.relationships+xml"/>
  <Override PartName="/word/activeX/_rels/activeX9.xml.rels" ContentType="application/vnd.openxmlformats-package.relationships+xml"/>
  <Override PartName="/word/activeX/_rels/activeX10.xml.rels" ContentType="application/vnd.openxmlformats-package.relationships+xml"/>
  <Override PartName="/word/activeX/_rels/activeX11.xml.rels" ContentType="application/vnd.openxmlformats-package.relationships+xml"/>
  <Override PartName="/word/activeX/_rels/activeX12.xml.rels" ContentType="application/vnd.openxmlformats-package.relationships+xml"/>
  <Override PartName="/word/activeX/_rels/activeX13.xml.rels" ContentType="application/vnd.openxmlformats-package.relationships+xml"/>
  <Override PartName="/word/activeX/_rels/activeX14.xml.rels" ContentType="application/vnd.openxmlformats-package.relationships+xml"/>
  <Override PartName="/word/activeX/_rels/activeX15.xml.rels" ContentType="application/vnd.openxmlformats-package.relationships+xml"/>
  <Override PartName="/word/activeX/_rels/activeX16.xml.rels" ContentType="application/vnd.openxmlformats-package.relationships+xml"/>
  <Override PartName="/word/activeX/_rels/activeX17.xml.rels" ContentType="application/vnd.openxmlformats-package.relationships+xml"/>
  <Override PartName="/word/activeX/_rels/activeX18.xml.rels" ContentType="application/vnd.openxmlformats-package.relationships+xml"/>
  <Override PartName="/word/activeX/_rels/activeX19.xml.rels" ContentType="application/vnd.openxmlformats-package.relationships+xml"/>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ind w:left="851" w:right="1236" w:hanging="0"/>
        <w:jc w:val="both"/>
        <w:rPr>
          <w:rFonts w:cs="Arial"/>
        </w:rPr>
      </w:pPr>
      <w:r>
        <w:rPr>
          <w:rFonts w:cs="Arial"/>
        </w:rPr>
        <w:drawing>
          <wp:anchor behindDoc="1" distT="0" distB="0" distL="0" distR="0" simplePos="0" locked="0" layoutInCell="1" allowOverlap="1" relativeHeight="2">
            <wp:simplePos x="0" y="0"/>
            <wp:positionH relativeFrom="column">
              <wp:posOffset>2370455</wp:posOffset>
            </wp:positionH>
            <wp:positionV relativeFrom="paragraph">
              <wp:posOffset>-582295</wp:posOffset>
            </wp:positionV>
            <wp:extent cx="1099185" cy="75628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71" t="-119" r="-71" b="-119"/>
                    <a:stretch>
                      <a:fillRect/>
                    </a:stretch>
                  </pic:blipFill>
                  <pic:spPr bwMode="auto">
                    <a:xfrm>
                      <a:off x="0" y="0"/>
                      <a:ext cx="1099185" cy="756285"/>
                    </a:xfrm>
                    <a:prstGeom prst="rect">
                      <a:avLst/>
                    </a:prstGeom>
                  </pic:spPr>
                </pic:pic>
              </a:graphicData>
            </a:graphic>
          </wp:anchor>
        </w:drawing>
      </w:r>
    </w:p>
    <w:p>
      <w:pPr>
        <w:pStyle w:val="Normal"/>
        <w:ind w:left="851" w:right="1236" w:hanging="0"/>
        <w:jc w:val="both"/>
        <w:rPr>
          <w:rFonts w:cs="Arial"/>
        </w:rPr>
      </w:pPr>
      <w:r>
        <w:rPr>
          <w:rFonts w:cs="Arial"/>
        </w:rPr>
      </w:r>
    </w:p>
    <w:p>
      <w:pPr>
        <w:pStyle w:val="Normal"/>
        <w:ind w:left="-142" w:right="1236" w:hanging="0"/>
        <w:jc w:val="both"/>
        <w:rPr>
          <w:rFonts w:cs="Arial"/>
          <w:sz w:val="24"/>
          <w:szCs w:val="24"/>
        </w:rPr>
      </w:pPr>
      <w:r>
        <w:rPr>
          <w:rFonts w:cs="Arial"/>
          <w:sz w:val="24"/>
          <w:szCs w:val="24"/>
        </w:rPr>
      </w:r>
    </w:p>
    <w:tbl>
      <w:tblPr>
        <w:tblW w:w="9638" w:type="dxa"/>
        <w:jc w:val="left"/>
        <w:tblInd w:w="-114" w:type="dxa"/>
        <w:tblLayout w:type="fixed"/>
        <w:tblCellMar>
          <w:top w:w="0" w:type="dxa"/>
          <w:left w:w="23" w:type="dxa"/>
          <w:bottom w:w="0" w:type="dxa"/>
          <w:right w:w="70" w:type="dxa"/>
        </w:tblCellMar>
        <w:tblLook w:firstRow="1" w:noVBand="1" w:lastRow="0" w:firstColumn="1" w:lastColumn="0" w:noHBand="0" w:val="04a0"/>
      </w:tblPr>
      <w:tblGrid>
        <w:gridCol w:w="9638"/>
      </w:tblGrid>
      <w:tr>
        <w:trPr>
          <w:trHeight w:val="1213" w:hRule="atLeast"/>
        </w:trPr>
        <w:tc>
          <w:tcPr>
            <w:tcW w:w="9638" w:type="dxa"/>
            <w:tcBorders>
              <w:top w:val="single" w:sz="18" w:space="0" w:color="00000A"/>
              <w:left w:val="single" w:sz="18" w:space="0" w:color="00000A"/>
              <w:bottom w:val="single" w:sz="18" w:space="0" w:color="00000A"/>
              <w:right w:val="single" w:sz="18" w:space="0" w:color="00000A"/>
            </w:tcBorders>
            <w:shd w:fill="auto" w:val="clear"/>
          </w:tcPr>
          <w:p>
            <w:pPr>
              <w:pStyle w:val="En-tte"/>
              <w:widowControl w:val="false"/>
              <w:snapToGrid w:val="false"/>
              <w:ind w:right="-1134" w:hanging="0"/>
              <w:jc w:val="center"/>
              <w:rPr/>
            </w:pPr>
            <w:r>
              <w:rPr>
                <w:rFonts w:cs="Arial"/>
                <w:b/>
                <w:sz w:val="24"/>
                <w:szCs w:val="24"/>
              </w:rPr>
              <w:t>Préfet du Doubs</w:t>
            </w:r>
          </w:p>
          <w:p>
            <w:pPr>
              <w:pStyle w:val="En-tte"/>
              <w:widowControl w:val="false"/>
              <w:snapToGrid w:val="false"/>
              <w:ind w:right="-1134" w:hanging="0"/>
              <w:jc w:val="center"/>
              <w:rPr/>
            </w:pPr>
            <w:r>
              <w:rPr>
                <w:rFonts w:cs="Arial"/>
                <w:iCs/>
                <w:spacing w:val="8"/>
                <w:sz w:val="24"/>
                <w:szCs w:val="24"/>
              </w:rPr>
              <w:t>Direction départementale des territoires du Doubs</w:t>
            </w:r>
          </w:p>
          <w:p>
            <w:pPr>
              <w:pStyle w:val="En-tte"/>
              <w:widowControl w:val="false"/>
              <w:ind w:right="-1134" w:hanging="0"/>
              <w:jc w:val="center"/>
              <w:rPr/>
            </w:pPr>
            <w:r>
              <w:rPr>
                <w:rFonts w:cs="Arial"/>
                <w:iCs/>
                <w:sz w:val="24"/>
                <w:szCs w:val="24"/>
              </w:rPr>
              <w:t>Service habitat construction ville</w:t>
            </w:r>
          </w:p>
          <w:p>
            <w:pPr>
              <w:pStyle w:val="En-tte"/>
              <w:widowControl w:val="false"/>
              <w:ind w:right="-1134" w:hanging="0"/>
              <w:jc w:val="center"/>
              <w:rPr/>
            </w:pPr>
            <w:r>
              <w:rPr>
                <w:rFonts w:cs="Arial"/>
                <w:i/>
                <w:iCs/>
                <w:sz w:val="24"/>
                <w:szCs w:val="24"/>
              </w:rPr>
              <w:t>Unité bâtiment énergie accessibilité</w:t>
            </w:r>
          </w:p>
        </w:tc>
      </w:tr>
    </w:tbl>
    <w:p>
      <w:pPr>
        <w:pStyle w:val="Normal"/>
        <w:jc w:val="both"/>
        <w:rPr>
          <w:rFonts w:cs="Arial"/>
          <w:b/>
          <w:bCs/>
          <w:sz w:val="28"/>
          <w:szCs w:val="28"/>
        </w:rPr>
      </w:pPr>
      <w:r>
        <w:rPr>
          <w:rFonts w:cs="Arial"/>
          <w:b/>
          <w:bCs/>
          <w:sz w:val="28"/>
          <w:szCs w:val="28"/>
        </w:rPr>
      </w:r>
    </w:p>
    <w:p>
      <w:pPr>
        <w:pStyle w:val="Normal"/>
        <w:jc w:val="both"/>
        <w:rPr/>
      </w:pPr>
      <w:r>
        <w:rPr>
          <w:rFonts w:cs="Arial"/>
          <w:b/>
          <w:bCs/>
          <w:sz w:val="28"/>
          <w:szCs w:val="28"/>
        </w:rPr>
        <w:t>Accessibilité des personnes à mobilité réduite aux Établissements et Installations ouvertes au public (E.R.P. et I.O.P.)</w:t>
      </w:r>
    </w:p>
    <w:p>
      <w:pPr>
        <w:pStyle w:val="Normal"/>
        <w:pBdr>
          <w:bottom w:val="single" w:sz="6" w:space="1" w:color="00000A"/>
        </w:pBdr>
        <w:jc w:val="center"/>
        <w:rPr/>
      </w:pPr>
      <w:r>
        <w:rPr>
          <w:rFonts w:cs="Arial"/>
          <w:b/>
          <w:bCs/>
          <w:color w:val="2F5496" w:themeColor="accent5" w:themeShade="bf"/>
          <w:sz w:val="32"/>
          <w:szCs w:val="32"/>
        </w:rPr>
        <w:t>Cadre bâti neuf ou existant</w:t>
      </w:r>
    </w:p>
    <w:p>
      <w:pPr>
        <w:pStyle w:val="Normal"/>
        <w:pBdr>
          <w:bottom w:val="single" w:sz="6" w:space="1" w:color="00000A"/>
        </w:pBdr>
        <w:jc w:val="both"/>
        <w:rPr>
          <w:rFonts w:cs="Arial"/>
          <w:b/>
          <w:bCs/>
          <w:color w:val="000000"/>
          <w:sz w:val="8"/>
          <w:szCs w:val="8"/>
        </w:rPr>
      </w:pPr>
      <w:r>
        <w:rPr>
          <w:rFonts w:cs="Arial"/>
          <w:b/>
          <w:bCs/>
          <w:color w:val="000000"/>
          <w:sz w:val="8"/>
          <w:szCs w:val="8"/>
        </w:rPr>
      </w:r>
    </w:p>
    <w:p>
      <w:pPr>
        <w:pStyle w:val="Normal"/>
        <w:jc w:val="both"/>
        <w:rPr>
          <w:rFonts w:cs="Arial"/>
          <w:sz w:val="8"/>
          <w:szCs w:val="8"/>
        </w:rPr>
      </w:pPr>
      <w:r>
        <w:rPr>
          <w:rFonts w:cs="Arial"/>
          <w:sz w:val="8"/>
          <w:szCs w:val="8"/>
        </w:rPr>
      </w:r>
    </w:p>
    <w:p>
      <w:pPr>
        <w:pStyle w:val="Normal"/>
        <w:jc w:val="center"/>
        <w:rPr/>
      </w:pPr>
      <w:r>
        <w:rPr>
          <w:rFonts w:cs="Arial"/>
          <w:b/>
          <w:bCs/>
          <w:sz w:val="40"/>
          <w:szCs w:val="40"/>
        </w:rPr>
        <w:t>NOTICE D’ACCESSIBILIT</w:t>
      </w:r>
      <w:r>
        <w:rPr>
          <w:rFonts w:cs="Arial"/>
          <w:b/>
          <w:bCs/>
          <w:sz w:val="40"/>
          <w:szCs w:val="22"/>
        </w:rPr>
        <w:t>É</w:t>
      </w:r>
    </w:p>
    <w:p>
      <w:pPr>
        <w:pStyle w:val="Normal"/>
        <w:pBdr>
          <w:bottom w:val="single" w:sz="6" w:space="1" w:color="00000A"/>
        </w:pBdr>
        <w:jc w:val="both"/>
        <w:rPr/>
      </w:pPr>
      <w:r>
        <w:rPr>
          <w:rFonts w:cs="Arial"/>
          <w:i/>
          <w:iCs/>
          <w:szCs w:val="22"/>
        </w:rPr>
        <w:t>(D’autres types de notices peuvent être utilisés mais les éléments de détail prévus par l’arrêté du 11 septembre 2007 devront impérativement y figurer)</w:t>
      </w:r>
    </w:p>
    <w:p>
      <w:pPr>
        <w:pStyle w:val="Normal"/>
        <w:pBdr>
          <w:bottom w:val="single" w:sz="6" w:space="1" w:color="00000A"/>
        </w:pBdr>
        <w:jc w:val="both"/>
        <w:rPr>
          <w:rFonts w:cs="Arial"/>
          <w:i/>
          <w:i/>
          <w:iCs/>
          <w:sz w:val="8"/>
          <w:szCs w:val="8"/>
        </w:rPr>
      </w:pPr>
      <w:r>
        <w:rPr>
          <w:rFonts w:cs="Arial"/>
          <w:i/>
          <w:iCs/>
          <w:sz w:val="8"/>
          <w:szCs w:val="8"/>
        </w:rPr>
      </w:r>
    </w:p>
    <w:p>
      <w:pPr>
        <w:pStyle w:val="Normal"/>
        <w:jc w:val="both"/>
        <w:rPr>
          <w:rFonts w:cs="Arial"/>
          <w:b/>
          <w:bCs/>
          <w:sz w:val="8"/>
          <w:szCs w:val="8"/>
        </w:rPr>
      </w:pPr>
      <w:r>
        <w:rPr>
          <w:rFonts w:cs="Arial"/>
          <w:b/>
          <w:bCs/>
          <w:sz w:val="8"/>
          <w:szCs w:val="8"/>
        </w:rPr>
      </w:r>
    </w:p>
    <w:p>
      <w:pPr>
        <w:pStyle w:val="Normal"/>
        <w:jc w:val="both"/>
        <w:rPr>
          <w:rFonts w:cs="Arial"/>
          <w:b/>
          <w:bCs/>
          <w:sz w:val="24"/>
          <w:szCs w:val="18"/>
        </w:rPr>
      </w:pPr>
      <w:r>
        <w:rPr>
          <w:rFonts w:cs="Arial"/>
          <w:b/>
          <w:bCs/>
          <w:sz w:val="24"/>
          <w:szCs w:val="18"/>
        </w:rPr>
      </w:r>
    </w:p>
    <w:p>
      <w:pPr>
        <w:pStyle w:val="Normal"/>
        <w:shd w:val="clear" w:color="auto" w:fill="DDDDDD"/>
        <w:ind w:right="527" w:hanging="0"/>
        <w:jc w:val="both"/>
        <w:rPr/>
      </w:pPr>
      <w:r>
        <w:rPr>
          <w:rFonts w:cs="Arial"/>
          <w:b/>
          <w:bCs/>
          <w:color w:val="1F4E79" w:themeColor="accent1" w:themeShade="80"/>
          <w:sz w:val="32"/>
          <w:szCs w:val="18"/>
        </w:rPr>
        <w:t xml:space="preserve">1 - RAPPELS </w:t>
      </w:r>
    </w:p>
    <w:p>
      <w:pPr>
        <w:pStyle w:val="Normal"/>
        <w:ind w:right="527" w:hanging="0"/>
        <w:jc w:val="both"/>
        <w:rPr>
          <w:rFonts w:cs="Arial"/>
          <w:b/>
          <w:bCs/>
          <w:color w:val="000000"/>
          <w:sz w:val="16"/>
          <w:szCs w:val="18"/>
        </w:rPr>
      </w:pPr>
      <w:r>
        <w:rPr>
          <w:rFonts w:cs="Arial"/>
          <w:b/>
          <w:bCs/>
          <w:color w:val="000000"/>
          <w:sz w:val="16"/>
          <w:szCs w:val="18"/>
        </w:rPr>
      </w:r>
    </w:p>
    <w:p>
      <w:pPr>
        <w:pStyle w:val="Normal"/>
        <w:ind w:right="527" w:hanging="0"/>
        <w:jc w:val="both"/>
        <w:rPr/>
      </w:pPr>
      <w:r>
        <w:rPr>
          <w:rFonts w:cs="Arial"/>
          <w:b/>
          <w:bCs/>
          <w:color w:val="000000"/>
          <w:sz w:val="28"/>
          <w:szCs w:val="18"/>
        </w:rPr>
        <w:t xml:space="preserve">Réglementation </w:t>
      </w:r>
    </w:p>
    <w:p>
      <w:pPr>
        <w:pStyle w:val="Normal"/>
        <w:tabs>
          <w:tab w:val="clear" w:pos="709"/>
          <w:tab w:val="left" w:pos="2127" w:leader="none"/>
        </w:tabs>
        <w:ind w:left="142" w:right="527" w:hanging="142"/>
        <w:jc w:val="both"/>
        <w:rPr>
          <w:rFonts w:cs="Arial"/>
          <w:color w:val="000000"/>
          <w:szCs w:val="22"/>
        </w:rPr>
      </w:pPr>
      <w:r>
        <w:rPr>
          <w:rFonts w:cs="Arial"/>
          <w:color w:val="000000"/>
          <w:szCs w:val="22"/>
        </w:rPr>
      </w:r>
    </w:p>
    <w:p>
      <w:pPr>
        <w:pStyle w:val="Normal"/>
        <w:tabs>
          <w:tab w:val="clear" w:pos="709"/>
          <w:tab w:val="left" w:pos="2127" w:leader="none"/>
        </w:tabs>
        <w:ind w:left="142" w:right="527" w:hanging="142"/>
        <w:jc w:val="both"/>
        <w:rPr/>
      </w:pPr>
      <w:r>
        <w:rPr>
          <w:rFonts w:cs="Arial"/>
          <w:color w:val="000000"/>
          <w:szCs w:val="22"/>
        </w:rPr>
        <w:t>- Article L 122-3 et suivants du code de la construction et de l’habitation</w:t>
      </w:r>
    </w:p>
    <w:p>
      <w:pPr>
        <w:pStyle w:val="Normal"/>
        <w:tabs>
          <w:tab w:val="clear" w:pos="709"/>
          <w:tab w:val="left" w:pos="2127" w:leader="none"/>
        </w:tabs>
        <w:ind w:left="142" w:right="527" w:hanging="142"/>
        <w:jc w:val="both"/>
        <w:rPr/>
      </w:pPr>
      <w:r>
        <w:rPr>
          <w:rFonts w:cs="Arial"/>
          <w:color w:val="000000"/>
          <w:szCs w:val="22"/>
        </w:rPr>
        <w:t>- Loi n° 91-663 du 13 juillet 1991</w:t>
      </w:r>
    </w:p>
    <w:p>
      <w:pPr>
        <w:pStyle w:val="Normal"/>
        <w:tabs>
          <w:tab w:val="clear" w:pos="709"/>
          <w:tab w:val="left" w:pos="2127" w:leader="none"/>
        </w:tabs>
        <w:ind w:left="142" w:right="527" w:hanging="142"/>
        <w:jc w:val="both"/>
        <w:rPr/>
      </w:pPr>
      <w:r>
        <w:rPr>
          <w:rFonts w:cs="Arial"/>
          <w:color w:val="000000"/>
          <w:szCs w:val="22"/>
        </w:rPr>
        <w:t>- Loi n° 2005-102 du 11 février 2005</w:t>
      </w:r>
    </w:p>
    <w:p>
      <w:pPr>
        <w:pStyle w:val="Normal"/>
        <w:tabs>
          <w:tab w:val="clear" w:pos="709"/>
          <w:tab w:val="left" w:pos="2127" w:leader="none"/>
        </w:tabs>
        <w:ind w:left="142" w:right="527" w:hanging="142"/>
        <w:jc w:val="both"/>
        <w:rPr/>
      </w:pPr>
      <w:r>
        <w:rPr>
          <w:rFonts w:cs="Arial"/>
          <w:color w:val="000000"/>
          <w:szCs w:val="22"/>
        </w:rPr>
        <w:t>- Décret n° 2006-555 du 17 mai 2006</w:t>
      </w:r>
    </w:p>
    <w:p>
      <w:pPr>
        <w:pStyle w:val="Normal"/>
        <w:tabs>
          <w:tab w:val="clear" w:pos="709"/>
          <w:tab w:val="left" w:pos="2127" w:leader="none"/>
        </w:tabs>
        <w:ind w:left="142" w:right="527" w:hanging="142"/>
        <w:jc w:val="both"/>
        <w:rPr/>
      </w:pPr>
      <w:r>
        <w:rPr>
          <w:rFonts w:cs="Arial"/>
          <w:color w:val="000000"/>
          <w:szCs w:val="22"/>
        </w:rPr>
        <w:t>- Décret n° 2007-1327 du 11 septembre 2007</w:t>
      </w:r>
    </w:p>
    <w:p>
      <w:pPr>
        <w:pStyle w:val="Normal"/>
        <w:tabs>
          <w:tab w:val="clear" w:pos="709"/>
          <w:tab w:val="left" w:pos="2127" w:leader="none"/>
        </w:tabs>
        <w:ind w:left="142" w:right="527" w:hanging="142"/>
        <w:jc w:val="both"/>
        <w:rPr/>
      </w:pPr>
      <w:r>
        <w:rPr>
          <w:rFonts w:cs="Arial"/>
          <w:color w:val="000000"/>
          <w:szCs w:val="22"/>
        </w:rPr>
        <w:t>- Arrêté du 20 avril 2017</w:t>
      </w:r>
    </w:p>
    <w:p>
      <w:pPr>
        <w:pStyle w:val="Normal"/>
        <w:tabs>
          <w:tab w:val="clear" w:pos="709"/>
          <w:tab w:val="left" w:pos="2127" w:leader="none"/>
        </w:tabs>
        <w:ind w:left="142" w:right="527" w:hanging="142"/>
        <w:jc w:val="both"/>
        <w:rPr/>
      </w:pPr>
      <w:r>
        <w:rPr>
          <w:rFonts w:cs="Arial"/>
          <w:color w:val="000000"/>
          <w:szCs w:val="22"/>
        </w:rPr>
        <w:t>- Arrêté du 8 décembre 2014</w:t>
      </w:r>
    </w:p>
    <w:p>
      <w:pPr>
        <w:pStyle w:val="Normal"/>
        <w:tabs>
          <w:tab w:val="clear" w:pos="709"/>
          <w:tab w:val="left" w:pos="2127" w:leader="none"/>
        </w:tabs>
        <w:ind w:left="142" w:right="527" w:hanging="142"/>
        <w:jc w:val="both"/>
        <w:rPr>
          <w:rFonts w:cs="Arial"/>
          <w:sz w:val="28"/>
          <w:szCs w:val="28"/>
        </w:rPr>
      </w:pPr>
      <w:r>
        <w:rPr>
          <w:rFonts w:cs="Arial"/>
          <w:sz w:val="28"/>
          <w:szCs w:val="28"/>
        </w:rPr>
      </w:r>
    </w:p>
    <w:p>
      <w:pPr>
        <w:pStyle w:val="Normal"/>
        <w:ind w:right="527" w:hanging="0"/>
        <w:jc w:val="both"/>
        <w:rPr/>
      </w:pPr>
      <w:r>
        <w:rPr>
          <w:rFonts w:cs="Arial"/>
          <w:b/>
          <w:bCs/>
          <w:color w:val="000000"/>
          <w:sz w:val="28"/>
          <w:szCs w:val="28"/>
        </w:rPr>
        <w:t xml:space="preserve">L'obligation concernant les ERP et IOP </w:t>
      </w:r>
    </w:p>
    <w:p>
      <w:pPr>
        <w:pStyle w:val="Normal"/>
        <w:widowControl w:val="false"/>
        <w:ind w:right="527" w:hanging="0"/>
        <w:jc w:val="both"/>
        <w:rPr/>
      </w:pPr>
      <w:r>
        <w:rPr>
          <w:rFonts w:cs="Arial"/>
          <w:color w:val="000000"/>
          <w:szCs w:val="22"/>
        </w:rPr>
        <w:t>Les exigences d'accessibilité des ERP et IOP sont définies par les articles R.162-8 à R.164-5 du code de la construction et de l’habitation.</w:t>
      </w:r>
    </w:p>
    <w:p>
      <w:pPr>
        <w:pStyle w:val="Normal"/>
        <w:widowControl w:val="false"/>
        <w:ind w:right="527" w:hanging="0"/>
        <w:jc w:val="both"/>
        <w:rPr/>
      </w:pPr>
      <w:r>
        <w:rPr>
          <w:rFonts w:cs="Arial"/>
          <w:color w:val="000000"/>
          <w:szCs w:val="22"/>
        </w:rPr>
        <w:t xml:space="preserve">L'article R. 162-9 précise : </w:t>
      </w:r>
    </w:p>
    <w:p>
      <w:pPr>
        <w:pStyle w:val="Normal"/>
        <w:widowControl w:val="false"/>
        <w:ind w:right="527" w:hanging="0"/>
        <w:jc w:val="both"/>
        <w:rPr/>
      </w:pPr>
      <w:r>
        <w:rPr>
          <w:rFonts w:cs="Arial"/>
          <w:color w:val="000000"/>
          <w:szCs w:val="22"/>
        </w:rPr>
        <w:t xml:space="preserve">« Les établissements recevant du public définis à l’article R. 143-2 et les installations ouvertes au public doivent être accessibles aux personnes handicapées, </w:t>
      </w:r>
      <w:r>
        <w:rPr>
          <w:rFonts w:cs="Arial"/>
          <w:b/>
          <w:bCs/>
          <w:color w:val="000000"/>
          <w:szCs w:val="22"/>
        </w:rPr>
        <w:t>quel que soit leur handicap</w:t>
      </w:r>
      <w:r>
        <w:rPr>
          <w:rFonts w:cs="Arial"/>
          <w:color w:val="000000"/>
          <w:szCs w:val="22"/>
        </w:rPr>
        <w:t xml:space="preserve">. </w:t>
      </w:r>
    </w:p>
    <w:p>
      <w:pPr>
        <w:pStyle w:val="Normal"/>
        <w:widowControl w:val="false"/>
        <w:ind w:right="527" w:hanging="0"/>
        <w:jc w:val="both"/>
        <w:rPr/>
      </w:pPr>
      <w:r>
        <w:rPr>
          <w:rFonts w:cs="Arial"/>
          <w:color w:val="000000"/>
          <w:szCs w:val="22"/>
        </w:rPr>
        <w:t>« L’obligation d’accessibilité porte sur les parties extérieures et intérieures des établissements et installations et concerne les circulations, une partie des places de stationnement automobile, les ascenseurs, les locaux et leurs équipements »</w:t>
      </w:r>
    </w:p>
    <w:p>
      <w:pPr>
        <w:pStyle w:val="Normal"/>
        <w:ind w:right="527" w:hanging="0"/>
        <w:jc w:val="both"/>
        <w:rPr>
          <w:rFonts w:cs="Arial"/>
          <w:color w:val="000000"/>
          <w:szCs w:val="22"/>
        </w:rPr>
      </w:pPr>
      <w:r>
        <w:rPr>
          <w:rFonts w:cs="Arial"/>
          <w:color w:val="000000"/>
          <w:szCs w:val="22"/>
        </w:rPr>
      </w:r>
    </w:p>
    <w:p>
      <w:pPr>
        <w:pStyle w:val="Normal"/>
        <w:ind w:right="567" w:hanging="0"/>
        <w:jc w:val="both"/>
        <w:rPr/>
      </w:pPr>
      <w:r>
        <w:rPr>
          <w:rFonts w:cs="Arial"/>
          <w:b/>
          <w:bCs/>
          <w:sz w:val="28"/>
          <w:szCs w:val="28"/>
        </w:rPr>
        <w:t>Fin de travaux</w:t>
      </w:r>
    </w:p>
    <w:p>
      <w:pPr>
        <w:pStyle w:val="Normal"/>
        <w:ind w:right="567" w:hanging="0"/>
        <w:jc w:val="both"/>
        <w:rPr/>
      </w:pPr>
      <w:r>
        <w:rPr>
          <w:rFonts w:cs="Arial"/>
          <w:szCs w:val="22"/>
        </w:rPr>
        <w:t>Selon l'article R.122-5 du CCH en fin de travaux :</w:t>
      </w:r>
    </w:p>
    <w:p>
      <w:pPr>
        <w:pStyle w:val="Normal"/>
        <w:numPr>
          <w:ilvl w:val="0"/>
          <w:numId w:val="45"/>
        </w:numPr>
        <w:ind w:left="0" w:right="567" w:hanging="0"/>
        <w:jc w:val="both"/>
        <w:rPr/>
      </w:pPr>
      <w:r>
        <w:rPr>
          <w:rFonts w:cs="Arial"/>
          <w:szCs w:val="22"/>
          <w:u w:val="single"/>
        </w:rPr>
        <w:t>Dans le cas d'un permis de construire</w:t>
      </w:r>
      <w:r>
        <w:rPr>
          <w:rFonts w:cs="Arial"/>
          <w:szCs w:val="22"/>
        </w:rPr>
        <w:t xml:space="preserve"> : l’engagement pris par le maître d'ouvrage de respecter les règles de constructions sera confirmé par une </w:t>
      </w:r>
      <w:r>
        <w:rPr>
          <w:rFonts w:cs="Arial"/>
          <w:b/>
          <w:bCs/>
          <w:szCs w:val="22"/>
        </w:rPr>
        <w:t>ATTESTATION DE PRISE EN COMPTE DES RÈGLES D’ACCESSIBILITÉ</w:t>
      </w:r>
      <w:r>
        <w:rPr>
          <w:rFonts w:cs="Arial"/>
          <w:szCs w:val="22"/>
        </w:rPr>
        <w:t xml:space="preserve"> qui sera jointe à la DAACT telle que définie par les articles R.122-30 à R.122-31 du code de la construction et de l’habitation.</w:t>
      </w:r>
    </w:p>
    <w:p>
      <w:pPr>
        <w:pStyle w:val="Normal"/>
        <w:numPr>
          <w:ilvl w:val="0"/>
          <w:numId w:val="45"/>
        </w:numPr>
        <w:ind w:left="0" w:right="567" w:hanging="0"/>
        <w:jc w:val="both"/>
        <w:rPr/>
      </w:pPr>
      <w:r>
        <w:rPr>
          <w:rFonts w:cs="Arial"/>
          <w:szCs w:val="22"/>
          <w:u w:val="single"/>
        </w:rPr>
        <w:t>Dans le cas d'une autorisation de travaux</w:t>
      </w:r>
      <w:r>
        <w:rPr>
          <w:rFonts w:cs="Arial"/>
          <w:szCs w:val="22"/>
        </w:rPr>
        <w:t xml:space="preserve">: </w:t>
      </w:r>
      <w:r>
        <w:rPr>
          <w:rFonts w:cs="Arial"/>
          <w:color w:val="000000"/>
          <w:szCs w:val="22"/>
        </w:rPr>
        <w:t>Après avis de la commission compétente en application de l'article R. 122-6, lorsque l'établissement n'a pas fait l'objet de travaux ou n'a fait l'objet que de travaux non soumis à permis de construire. La commission se prononce après visite des lieux pour les établissements de la première à la quatrième catégorie au sens de l'article R. 143-19.</w:t>
      </w:r>
    </w:p>
    <w:p>
      <w:pPr>
        <w:pStyle w:val="Normal"/>
        <w:ind w:right="567" w:hanging="0"/>
        <w:jc w:val="both"/>
        <w:rPr>
          <w:rFonts w:cs="Arial"/>
          <w:b/>
          <w:bCs/>
          <w:color w:val="000000"/>
          <w:sz w:val="28"/>
          <w:szCs w:val="18"/>
        </w:rPr>
      </w:pPr>
      <w:r>
        <w:rPr>
          <w:rFonts w:cs="Arial"/>
          <w:b/>
          <w:bCs/>
          <w:color w:val="000000"/>
          <w:sz w:val="28"/>
          <w:szCs w:val="18"/>
        </w:rPr>
      </w:r>
    </w:p>
    <w:p>
      <w:pPr>
        <w:pStyle w:val="Normal"/>
        <w:ind w:right="527" w:hanging="0"/>
        <w:jc w:val="both"/>
        <w:rPr/>
      </w:pPr>
      <w:r>
        <w:rPr>
          <w:rFonts w:cs="Arial"/>
          <w:b/>
          <w:bCs/>
          <w:color w:val="000000"/>
          <w:sz w:val="28"/>
          <w:szCs w:val="28"/>
        </w:rPr>
        <w:t>Définition de l’accessibilité :</w:t>
      </w:r>
    </w:p>
    <w:p>
      <w:pPr>
        <w:pStyle w:val="BodyText3"/>
        <w:ind w:right="527" w:hanging="0"/>
        <w:rPr/>
      </w:pPr>
      <w:r>
        <w:rPr>
          <w:rFonts w:cs="Arial" w:ascii="Arial" w:hAnsi="Arial"/>
          <w:szCs w:val="22"/>
        </w:rPr>
        <w:t>L’accessibilité est une obligation de résultat, il s’agit d’assurer l’usage normal de toutes les fonctions de l’établissement ou de l'installation.</w:t>
      </w:r>
    </w:p>
    <w:p>
      <w:pPr>
        <w:pStyle w:val="BodyTextIndent2"/>
        <w:ind w:left="0" w:right="527" w:hanging="0"/>
        <w:jc w:val="both"/>
        <w:rPr/>
      </w:pPr>
      <w:r>
        <w:rPr>
          <w:rFonts w:cs="Arial" w:ascii="Arial" w:hAnsi="Arial"/>
          <w:color w:val="000000"/>
          <w:szCs w:val="22"/>
        </w:rPr>
        <w:t xml:space="preserve">Art. R. 162-10. - Est considéré comme accessible aux personnes handicapées tout bâtiment ou aménagement permettant, dans des conditions normales de fonctionnement, à des personnes handicapées, avec la plus grande autonomie possible, de circuler, d’accéder aux locaux et équipements, d’utiliser les équipements, de se repérer, de communiquer et de bénéficier des prestations en vue desquelles cet établissement ou cette installation a été conçu. Les conditions d’accès des personnes handicapées doivent être les mêmes que celles des personnes valides ou, à défaut, présenter une qualité d’usage équivalente. </w:t>
      </w:r>
    </w:p>
    <w:p>
      <w:pPr>
        <w:pStyle w:val="BodyTextIndent2"/>
        <w:ind w:left="0" w:right="527" w:hanging="0"/>
        <w:jc w:val="both"/>
        <w:rPr>
          <w:rFonts w:ascii="Arial" w:hAnsi="Arial" w:cs="Arial"/>
          <w:color w:val="000000"/>
          <w:sz w:val="24"/>
        </w:rPr>
      </w:pPr>
      <w:r>
        <w:rPr>
          <w:rFonts w:cs="Arial" w:ascii="Arial" w:hAnsi="Arial"/>
          <w:color w:val="000000"/>
          <w:sz w:val="24"/>
        </w:rPr>
      </w:r>
    </w:p>
    <w:p>
      <w:pPr>
        <w:pStyle w:val="Xl29"/>
        <w:pBdr>
          <w:left w:val="single" w:sz="12" w:space="4" w:color="00000A"/>
        </w:pBdr>
        <w:spacing w:before="0" w:after="0"/>
        <w:ind w:right="567" w:hanging="0"/>
        <w:jc w:val="both"/>
        <w:rPr/>
      </w:pPr>
      <w:r>
        <w:rPr>
          <w:rFonts w:eastAsia="Times New Roman"/>
          <w:sz w:val="28"/>
          <w:szCs w:val="28"/>
        </w:rPr>
        <w:t>Le projet doit prendre en compte tous les types de handicaps (physiques, sensoriels, cognitifs, mentaux ou psychiques).</w:t>
      </w:r>
    </w:p>
    <w:p>
      <w:pPr>
        <w:pStyle w:val="Xl29"/>
        <w:pBdr>
          <w:left w:val="single" w:sz="12" w:space="4" w:color="00000A"/>
        </w:pBdr>
        <w:spacing w:before="0" w:after="0"/>
        <w:ind w:right="567" w:hanging="0"/>
        <w:jc w:val="both"/>
        <w:rPr>
          <w:rFonts w:eastAsia="Times New Roman"/>
          <w:b w:val="false"/>
          <w:bCs w:val="false"/>
          <w:sz w:val="22"/>
        </w:rPr>
      </w:pPr>
      <w:r>
        <w:rPr>
          <w:rFonts w:eastAsia="Times New Roman"/>
          <w:b w:val="false"/>
          <w:bCs w:val="false"/>
          <w:sz w:val="22"/>
        </w:rPr>
      </w:r>
    </w:p>
    <w:p>
      <w:pPr>
        <w:pStyle w:val="Xl29"/>
        <w:pBdr>
          <w:left w:val="single" w:sz="12" w:space="4" w:color="00000A"/>
        </w:pBdr>
        <w:spacing w:before="0" w:after="0"/>
        <w:ind w:right="567" w:hanging="0"/>
        <w:jc w:val="both"/>
        <w:rPr/>
      </w:pPr>
      <w:r>
        <w:rPr>
          <w:rFonts w:eastAsia="Times New Roman"/>
          <w:b w:val="false"/>
          <w:bCs w:val="false"/>
          <w:sz w:val="22"/>
        </w:rPr>
        <w:t>C’est ainsi que seront notamment pris en compte :</w:t>
      </w:r>
    </w:p>
    <w:p>
      <w:pPr>
        <w:pStyle w:val="Xl29"/>
        <w:pBdr>
          <w:left w:val="single" w:sz="12" w:space="4" w:color="00000A"/>
        </w:pBdr>
        <w:spacing w:before="0" w:after="0"/>
        <w:ind w:right="420" w:hanging="0"/>
        <w:jc w:val="both"/>
        <w:rPr/>
      </w:pPr>
      <w:r>
        <w:rPr>
          <w:rFonts w:eastAsia="Times New Roman"/>
          <w:bCs w:val="false"/>
          <w:sz w:val="22"/>
          <w:u w:val="single"/>
        </w:rPr>
        <w:t>Pour la déficience visuelle</w:t>
      </w:r>
      <w:r>
        <w:rPr>
          <w:rFonts w:eastAsia="Times New Roman"/>
          <w:bCs w:val="false"/>
          <w:sz w:val="22"/>
        </w:rPr>
        <w:t> :</w:t>
      </w:r>
      <w:r>
        <w:rPr>
          <w:rFonts w:eastAsia="Times New Roman"/>
          <w:b w:val="false"/>
          <w:bCs w:val="false"/>
          <w:sz w:val="22"/>
        </w:rPr>
        <w:t xml:space="preserve"> des exigences en termes de guidage, de repérage et de qualité d’éclairage ;</w:t>
      </w:r>
    </w:p>
    <w:p>
      <w:pPr>
        <w:pStyle w:val="Xl29"/>
        <w:pBdr>
          <w:left w:val="single" w:sz="12" w:space="4" w:color="00000A"/>
        </w:pBdr>
        <w:spacing w:before="0" w:after="0"/>
        <w:ind w:right="567" w:hanging="0"/>
        <w:jc w:val="both"/>
        <w:rPr/>
      </w:pPr>
      <w:r>
        <w:rPr>
          <w:rFonts w:eastAsia="Times New Roman"/>
          <w:bCs w:val="false"/>
          <w:sz w:val="22"/>
          <w:u w:val="single"/>
        </w:rPr>
        <w:t>Pour la déficience auditive</w:t>
      </w:r>
      <w:r>
        <w:rPr>
          <w:rFonts w:eastAsia="Times New Roman"/>
          <w:bCs w:val="false"/>
          <w:sz w:val="22"/>
        </w:rPr>
        <w:t> :</w:t>
      </w:r>
      <w:r>
        <w:rPr>
          <w:rFonts w:eastAsia="Times New Roman"/>
          <w:b w:val="false"/>
          <w:bCs w:val="false"/>
          <w:sz w:val="22"/>
        </w:rPr>
        <w:t xml:space="preserve"> des exigences en termes de communication, de qualité sonore et de signalisation adaptée ;</w:t>
      </w:r>
    </w:p>
    <w:p>
      <w:pPr>
        <w:pStyle w:val="Xl29"/>
        <w:pBdr>
          <w:left w:val="single" w:sz="12" w:space="4" w:color="00000A"/>
        </w:pBdr>
        <w:spacing w:before="0" w:after="0"/>
        <w:ind w:right="567" w:hanging="0"/>
        <w:jc w:val="both"/>
        <w:rPr/>
      </w:pPr>
      <w:r>
        <w:rPr>
          <w:rFonts w:eastAsia="Times New Roman"/>
          <w:bCs w:val="false"/>
          <w:sz w:val="22"/>
          <w:u w:val="single"/>
        </w:rPr>
        <w:t>Pour la déficience intellectuelle</w:t>
      </w:r>
      <w:r>
        <w:rPr>
          <w:rFonts w:eastAsia="Times New Roman"/>
          <w:bCs w:val="false"/>
          <w:sz w:val="22"/>
        </w:rPr>
        <w:t> :</w:t>
      </w:r>
      <w:r>
        <w:rPr>
          <w:rFonts w:eastAsia="Times New Roman"/>
          <w:b w:val="false"/>
          <w:bCs w:val="false"/>
          <w:sz w:val="22"/>
        </w:rPr>
        <w:t xml:space="preserve"> des exigences en termes de repérage et de qualité d’éclairage ;</w:t>
      </w:r>
    </w:p>
    <w:p>
      <w:pPr>
        <w:pStyle w:val="Xl29"/>
        <w:pBdr>
          <w:left w:val="single" w:sz="12" w:space="4" w:color="00000A"/>
        </w:pBdr>
        <w:spacing w:before="0" w:after="0"/>
        <w:ind w:right="567" w:hanging="0"/>
        <w:jc w:val="both"/>
        <w:rPr/>
      </w:pPr>
      <w:r>
        <w:rPr>
          <w:bCs w:val="false"/>
          <w:sz w:val="22"/>
          <w:u w:val="single"/>
        </w:rPr>
        <w:t>Pour la déficience motrice</w:t>
      </w:r>
      <w:r>
        <w:rPr>
          <w:bCs w:val="false"/>
          <w:sz w:val="22"/>
        </w:rPr>
        <w:t> :</w:t>
      </w:r>
      <w:r>
        <w:rPr>
          <w:b w:val="false"/>
          <w:bCs w:val="false"/>
          <w:sz w:val="22"/>
        </w:rPr>
        <w:t xml:space="preserve"> des exigences spatiales, de stationnement et de circulation adaptés, de cheminement extérieur et intérieur, de qualité d’usage des portes et équipements.</w:t>
      </w:r>
      <w:r>
        <w:rPr/>
        <w:t xml:space="preserve"> </w:t>
      </w:r>
    </w:p>
    <w:p>
      <w:pPr>
        <w:pStyle w:val="NormalWeb"/>
        <w:rPr>
          <w:sz w:val="21"/>
          <w:szCs w:val="21"/>
        </w:rPr>
      </w:pPr>
      <w:r>
        <w:rPr>
          <w:sz w:val="21"/>
          <w:szCs w:val="21"/>
        </w:rPr>
      </w:r>
    </w:p>
    <w:p>
      <w:pPr>
        <w:pStyle w:val="NormalWeb"/>
        <w:rPr>
          <w:sz w:val="21"/>
          <w:szCs w:val="21"/>
        </w:rPr>
      </w:pPr>
      <w:r>
        <w:rPr>
          <w:sz w:val="21"/>
          <w:szCs w:val="21"/>
        </w:rPr>
      </w:r>
    </w:p>
    <w:p>
      <w:pPr>
        <w:pStyle w:val="Xl29"/>
        <w:shd w:val="clear" w:color="auto" w:fill="DDDDDD"/>
        <w:spacing w:before="0" w:after="0"/>
        <w:ind w:right="567" w:hanging="0"/>
        <w:jc w:val="both"/>
        <w:rPr/>
      </w:pPr>
      <w:r>
        <w:rPr>
          <w:color w:val="1F4E79" w:themeColor="accent1" w:themeShade="80"/>
          <w:sz w:val="32"/>
        </w:rPr>
        <w:t xml:space="preserve">2 - OBJET DU DOCUMENT </w:t>
      </w:r>
    </w:p>
    <w:p>
      <w:pPr>
        <w:pStyle w:val="Normal"/>
        <w:jc w:val="both"/>
        <w:rPr>
          <w:rFonts w:cs="Arial"/>
          <w:b/>
          <w:bCs/>
          <w:color w:val="000000"/>
          <w:sz w:val="16"/>
          <w:szCs w:val="16"/>
        </w:rPr>
      </w:pPr>
      <w:r>
        <w:rPr>
          <w:rFonts w:cs="Arial"/>
          <w:b/>
          <w:bCs/>
          <w:color w:val="000000"/>
          <w:sz w:val="16"/>
          <w:szCs w:val="16"/>
        </w:rPr>
      </w:r>
    </w:p>
    <w:p>
      <w:pPr>
        <w:pStyle w:val="Normal"/>
        <w:ind w:right="567" w:hanging="0"/>
        <w:jc w:val="both"/>
        <w:rPr/>
      </w:pPr>
      <w:r>
        <w:rPr>
          <w:rFonts w:cs="Arial"/>
          <w:color w:val="000000"/>
          <w:sz w:val="24"/>
        </w:rPr>
        <w:t>La présente notice précise, dans le cadre d'une construction, d'un aménagement ou d'une modification d'un ERP, l’engagement du maître d’ouvrage vis-à-vis de la réglementation relative à l’accessibilité pour les personnes handicapées et fournit un cadre de renseignement pour l'examen du projet nécessaire à l'instruction du dossier (permis de construire, déclaration préalable  ou autorisation de travaux).</w:t>
      </w:r>
    </w:p>
    <w:p>
      <w:pPr>
        <w:pStyle w:val="Normal"/>
        <w:jc w:val="both"/>
        <w:rPr>
          <w:rFonts w:cs="Arial"/>
          <w:b/>
          <w:bCs/>
          <w:color w:val="000000"/>
          <w:sz w:val="28"/>
          <w:szCs w:val="28"/>
        </w:rPr>
      </w:pPr>
      <w:r>
        <w:rPr>
          <w:rFonts w:cs="Arial"/>
          <w:b/>
          <w:bCs/>
          <w:color w:val="000000"/>
          <w:sz w:val="28"/>
          <w:szCs w:val="28"/>
        </w:rPr>
      </w:r>
    </w:p>
    <w:p>
      <w:pPr>
        <w:pStyle w:val="Normal"/>
        <w:jc w:val="both"/>
        <w:rPr/>
      </w:pPr>
      <w:r>
        <w:rPr>
          <w:rFonts w:cs="Arial"/>
          <w:b/>
          <w:bCs/>
          <w:color w:val="000000"/>
          <w:sz w:val="28"/>
          <w:szCs w:val="28"/>
        </w:rPr>
        <w:t>Renseignements utiles</w:t>
      </w:r>
    </w:p>
    <w:p>
      <w:pPr>
        <w:pStyle w:val="Normal"/>
        <w:ind w:right="527" w:hanging="0"/>
        <w:jc w:val="both"/>
        <w:rPr/>
      </w:pPr>
      <w:r>
        <w:rPr>
          <w:rFonts w:cs="Arial"/>
          <w:color w:val="000000"/>
          <w:szCs w:val="22"/>
        </w:rPr>
        <w:t>Toutes précisions concernant cette notice peuvent être demandées auprès de :</w:t>
      </w:r>
    </w:p>
    <w:p>
      <w:pPr>
        <w:pStyle w:val="Normal"/>
        <w:jc w:val="both"/>
        <w:rPr/>
      </w:pPr>
      <w:r>
        <w:rPr>
          <w:rFonts w:cs="Arial"/>
          <w:color w:val="000000"/>
          <w:szCs w:val="22"/>
        </w:rPr>
        <w:t>DDT du DOUBS – SHCV/UBE Accessibilité</w:t>
      </w:r>
    </w:p>
    <w:p>
      <w:pPr>
        <w:pStyle w:val="En-tte"/>
        <w:ind w:right="527" w:hanging="0"/>
        <w:jc w:val="both"/>
        <w:rPr>
          <w:rFonts w:cs="Arial"/>
          <w:color w:val="000000"/>
          <w:szCs w:val="22"/>
        </w:rPr>
      </w:pPr>
      <w:r>
        <w:rPr>
          <w:rFonts w:cs="Arial"/>
          <w:color w:val="000000"/>
          <w:szCs w:val="22"/>
        </w:rPr>
        <w:t>Tél : 03 39 59 56 34</w:t>
      </w:r>
    </w:p>
    <w:p>
      <w:pPr>
        <w:pStyle w:val="En-tte"/>
        <w:ind w:right="527" w:hanging="0"/>
        <w:jc w:val="both"/>
        <w:rPr/>
      </w:pPr>
      <w:r>
        <w:rPr>
          <w:rFonts w:cs="Arial"/>
          <w:color w:val="000000"/>
          <w:szCs w:val="22"/>
        </w:rPr>
        <w:t xml:space="preserve">Courriel : </w:t>
      </w:r>
      <w:hyperlink r:id="rId3">
        <w:r>
          <w:rPr>
            <w:rStyle w:val="LienInternet"/>
            <w:rFonts w:cs="Arial"/>
            <w:szCs w:val="22"/>
          </w:rPr>
          <w:t>ddt-batiment-accessibilite@doubs.gouv.fr</w:t>
        </w:r>
      </w:hyperlink>
      <w:r>
        <w:rPr>
          <w:rFonts w:cs="Arial"/>
          <w:color w:val="000000"/>
          <w:szCs w:val="22"/>
        </w:rPr>
        <w:t xml:space="preserve"> </w:t>
      </w:r>
    </w:p>
    <w:p>
      <w:pPr>
        <w:pStyle w:val="Normal"/>
        <w:ind w:left="567" w:right="527" w:hanging="0"/>
        <w:jc w:val="both"/>
        <w:rPr>
          <w:rFonts w:cs="Arial"/>
          <w:b/>
          <w:bCs/>
          <w:color w:val="000000"/>
          <w:szCs w:val="22"/>
          <w:u w:val="single"/>
        </w:rPr>
      </w:pPr>
      <w:r>
        <w:rPr>
          <w:rFonts w:cs="Arial"/>
          <w:b/>
          <w:bCs/>
          <w:color w:val="000000"/>
          <w:szCs w:val="22"/>
          <w:u w:val="single"/>
        </w:rPr>
      </w:r>
    </w:p>
    <w:p>
      <w:pPr>
        <w:pStyle w:val="Xl29"/>
        <w:shd w:val="clear" w:color="auto" w:fill="DDDDDD"/>
        <w:spacing w:before="0" w:after="0"/>
        <w:ind w:right="567" w:hanging="0"/>
        <w:jc w:val="both"/>
        <w:rPr/>
      </w:pPr>
      <w:r>
        <w:rPr>
          <w:color w:val="1F4E79" w:themeColor="accent1" w:themeShade="80"/>
          <w:sz w:val="32"/>
        </w:rPr>
        <w:t>3 - OBLIGATIONS DU MAÎTRE D’OUVRAGE</w:t>
      </w:r>
    </w:p>
    <w:p>
      <w:pPr>
        <w:pStyle w:val="Normal"/>
        <w:ind w:right="567" w:hanging="0"/>
        <w:jc w:val="both"/>
        <w:rPr>
          <w:rFonts w:cs="Arial"/>
          <w:b/>
          <w:bCs/>
          <w:sz w:val="28"/>
          <w:szCs w:val="28"/>
        </w:rPr>
      </w:pPr>
      <w:r>
        <w:rPr>
          <w:rFonts w:cs="Arial"/>
          <w:b/>
          <w:bCs/>
          <w:sz w:val="28"/>
          <w:szCs w:val="28"/>
        </w:rPr>
      </w:r>
    </w:p>
    <w:p>
      <w:pPr>
        <w:pStyle w:val="Normal"/>
        <w:ind w:right="567" w:hanging="0"/>
        <w:jc w:val="both"/>
        <w:rPr/>
      </w:pPr>
      <w:r>
        <w:rPr>
          <w:rFonts w:cs="Arial"/>
          <w:b/>
          <w:bCs/>
          <w:color w:val="000000"/>
          <w:sz w:val="24"/>
          <w:szCs w:val="24"/>
          <w:u w:val="single"/>
        </w:rPr>
        <w:t>Au stade du permis de construire ou de l'autorisation de travaux</w:t>
      </w:r>
      <w:r>
        <w:rPr>
          <w:rFonts w:cs="Arial"/>
          <w:color w:val="000000"/>
          <w:sz w:val="24"/>
          <w:szCs w:val="24"/>
        </w:rPr>
        <w:t xml:space="preserve"> :</w:t>
      </w:r>
      <w:r>
        <w:rPr>
          <w:rFonts w:cs="Arial"/>
          <w:color w:val="000000"/>
          <w:szCs w:val="22"/>
        </w:rPr>
        <w:t xml:space="preserve"> le maître d'ouvrage prend l'engagement de respecter les règles de construction. </w:t>
      </w:r>
    </w:p>
    <w:p>
      <w:pPr>
        <w:pStyle w:val="Normal"/>
        <w:ind w:right="567" w:hanging="0"/>
        <w:jc w:val="both"/>
        <w:rPr/>
      </w:pPr>
      <w:r>
        <w:rPr>
          <w:rFonts w:cs="Arial"/>
          <w:color w:val="000000"/>
          <w:szCs w:val="22"/>
        </w:rPr>
        <w:t>Il doit fournir tous les éléments connus à ce stade du projet, et décrits ci-après, permettant la vérification de la prise en compte des règles d'accessibilité facilitant l'</w:t>
      </w:r>
      <w:r>
        <w:rPr>
          <w:rFonts w:cs="Arial"/>
          <w:b/>
          <w:bCs/>
          <w:color w:val="000000"/>
          <w:szCs w:val="22"/>
        </w:rPr>
        <w:t xml:space="preserve">AVIS OBLIGATOIRE </w:t>
      </w:r>
      <w:r>
        <w:rPr>
          <w:rFonts w:cs="Arial"/>
          <w:color w:val="000000"/>
          <w:szCs w:val="22"/>
        </w:rPr>
        <w:t>de la commission d'accessibilité compétente (commission communale ; d'arrondissement ou sous-commission départementale d'accessibilité (SCDA))</w:t>
      </w:r>
    </w:p>
    <w:p>
      <w:pPr>
        <w:pStyle w:val="Normal"/>
        <w:ind w:right="567" w:hanging="0"/>
        <w:jc w:val="both"/>
        <w:rPr>
          <w:rFonts w:cs="Arial"/>
          <w:szCs w:val="22"/>
        </w:rPr>
      </w:pPr>
      <w:r>
        <w:rPr>
          <w:rFonts w:cs="Arial"/>
          <w:szCs w:val="22"/>
        </w:rPr>
      </w:r>
    </w:p>
    <w:p>
      <w:pPr>
        <w:pStyle w:val="Normal"/>
        <w:ind w:right="425" w:hanging="0"/>
        <w:jc w:val="both"/>
        <w:rPr/>
      </w:pPr>
      <w:r>
        <w:rPr>
          <w:rFonts w:cs="Arial"/>
          <w:b/>
          <w:spacing w:val="-8"/>
          <w:sz w:val="24"/>
          <w:szCs w:val="24"/>
          <w:u w:val="single"/>
        </w:rPr>
        <w:t>Important</w:t>
      </w:r>
      <w:r>
        <w:rPr>
          <w:rFonts w:cs="Arial"/>
          <w:b/>
          <w:spacing w:val="-8"/>
          <w:sz w:val="24"/>
          <w:szCs w:val="24"/>
        </w:rPr>
        <w:t xml:space="preserve"> </w:t>
      </w:r>
      <w:r>
        <w:rPr>
          <w:rFonts w:cs="Arial"/>
          <w:b/>
          <w:spacing w:val="-8"/>
          <w:szCs w:val="22"/>
        </w:rPr>
        <w:t xml:space="preserve">: Formuler </w:t>
      </w:r>
      <w:r>
        <w:rPr>
          <w:rFonts w:cs="Arial"/>
          <w:spacing w:val="-8"/>
          <w:szCs w:val="22"/>
        </w:rPr>
        <w:t>si nécessaire</w:t>
      </w:r>
      <w:r>
        <w:rPr>
          <w:rFonts w:cs="Arial"/>
          <w:b/>
          <w:spacing w:val="-8"/>
          <w:szCs w:val="22"/>
        </w:rPr>
        <w:t xml:space="preserve"> la demande de dérogation (art R 164-6 et R.164-3 du Code de la Construction et de l’Habitation)</w:t>
      </w:r>
    </w:p>
    <w:p>
      <w:pPr>
        <w:pStyle w:val="BodyText2"/>
        <w:jc w:val="both"/>
        <w:rPr/>
      </w:pPr>
      <w:r>
        <w:rPr>
          <w:rFonts w:cs="Arial" w:ascii="Arial" w:hAnsi="Arial"/>
          <w:sz w:val="22"/>
          <w:szCs w:val="22"/>
        </w:rPr>
        <w:t>Le Préfet peut accorder des dérogations en vertus de l’article R.164-3, après consultation de la SCDA, aux dispositions des articles R.162-8 à R.162-13 et R.164-1 à R.164-2 :</w:t>
      </w:r>
    </w:p>
    <w:p>
      <w:pPr>
        <w:pStyle w:val="BodyText2"/>
        <w:numPr>
          <w:ilvl w:val="0"/>
          <w:numId w:val="47"/>
        </w:numPr>
        <w:jc w:val="both"/>
        <w:rPr/>
      </w:pPr>
      <w:r>
        <w:rPr>
          <w:rFonts w:cs="Arial" w:ascii="Arial" w:hAnsi="Arial"/>
          <w:b/>
          <w:color w:val="000000"/>
          <w:sz w:val="22"/>
          <w:szCs w:val="22"/>
        </w:rPr>
        <w:t>En cas d’impossibilité technique</w:t>
      </w:r>
      <w:r>
        <w:rPr>
          <w:rFonts w:cs="Arial" w:ascii="Arial" w:hAnsi="Arial"/>
          <w:color w:val="000000"/>
          <w:sz w:val="22"/>
          <w:szCs w:val="22"/>
        </w:rPr>
        <w:t xml:space="preserve"> résultant de l'environnement du bâtiment, notamment des caractéristiques du terrain, de la présence de constructions existantes ou de contraintes liées au classement de la zone de construction, notamment au regard de la réglementation de prévention contre les inondations ou en raison de difficultés liées à ses caractéristiques ou à la nature des travaux qui y sont réalisés ; </w:t>
      </w:r>
    </w:p>
    <w:p>
      <w:pPr>
        <w:pStyle w:val="BodyText2"/>
        <w:numPr>
          <w:ilvl w:val="0"/>
          <w:numId w:val="47"/>
        </w:numPr>
        <w:jc w:val="both"/>
        <w:rPr/>
      </w:pPr>
      <w:r>
        <w:rPr>
          <w:rFonts w:cs="Arial" w:ascii="Arial" w:hAnsi="Arial"/>
          <w:b/>
          <w:color w:val="000000"/>
          <w:sz w:val="22"/>
          <w:szCs w:val="22"/>
        </w:rPr>
        <w:t>En cas de contraintes liées à la conservation du patrimoine architectural</w:t>
      </w:r>
      <w:r>
        <w:rPr>
          <w:rFonts w:cs="Arial" w:ascii="Arial" w:hAnsi="Arial"/>
          <w:color w:val="000000"/>
          <w:sz w:val="22"/>
          <w:szCs w:val="22"/>
        </w:rPr>
        <w:t xml:space="preserve"> dès lors que les travaux doivent être exécutés ;</w:t>
      </w:r>
    </w:p>
    <w:p>
      <w:pPr>
        <w:pStyle w:val="BodyText2"/>
        <w:numPr>
          <w:ilvl w:val="0"/>
          <w:numId w:val="47"/>
        </w:numPr>
        <w:jc w:val="both"/>
        <w:rPr/>
      </w:pPr>
      <w:r>
        <w:rPr>
          <w:rFonts w:cs="Arial" w:ascii="Arial" w:hAnsi="Arial"/>
          <w:b/>
          <w:color w:val="000000"/>
          <w:sz w:val="22"/>
          <w:szCs w:val="22"/>
        </w:rPr>
        <w:t>Lorsqu’il y a disproportion manifeste</w:t>
      </w:r>
      <w:r>
        <w:rPr>
          <w:rFonts w:cs="Arial" w:ascii="Arial" w:hAnsi="Arial"/>
          <w:color w:val="000000"/>
          <w:sz w:val="22"/>
          <w:szCs w:val="22"/>
        </w:rPr>
        <w:t xml:space="preserve"> entre les améliorations apportées par la mise en œuvre des prescriptions techniques d'accessibilité, d'une part, et leurs coûts, leurs effets sur l'usage du bâtiment et de ses abords ou la viabilité de l'exploitation de l'établissement, d'autre part, notamment ;</w:t>
      </w:r>
    </w:p>
    <w:p>
      <w:pPr>
        <w:pStyle w:val="BodyText2"/>
        <w:numPr>
          <w:ilvl w:val="0"/>
          <w:numId w:val="47"/>
        </w:numPr>
        <w:jc w:val="both"/>
        <w:rPr/>
      </w:pPr>
      <w:r>
        <w:rPr>
          <w:rFonts w:cs="Arial" w:ascii="Arial" w:hAnsi="Arial"/>
          <w:b/>
          <w:color w:val="000000"/>
          <w:sz w:val="22"/>
          <w:szCs w:val="22"/>
        </w:rPr>
        <w:t>Lorsque les copropriétaires d'un bâtiment à usage principal d'habitation existant au 28 septembre 2014 réunis en assemblée générale s'opposent, à la réalisation des travaux</w:t>
      </w:r>
      <w:r>
        <w:rPr>
          <w:rFonts w:cs="Arial" w:ascii="Arial" w:hAnsi="Arial"/>
          <w:color w:val="000000"/>
          <w:sz w:val="22"/>
          <w:szCs w:val="22"/>
        </w:rPr>
        <w:t xml:space="preserve"> de mise en accessibilité d'un établissement recevant du public existant ou créé dans ce bâtiment. Lorsque ce refus est opposé à un établissement recevant du public existant dans ce bâtiment, la dérogation est accordée de plein droit.</w:t>
      </w:r>
    </w:p>
    <w:p>
      <w:pPr>
        <w:pStyle w:val="BodyText2"/>
        <w:ind w:left="720" w:hanging="0"/>
        <w:jc w:val="both"/>
        <w:rPr>
          <w:rFonts w:ascii="Arial" w:hAnsi="Arial" w:cs="Arial"/>
          <w:color w:val="000000"/>
          <w:sz w:val="22"/>
          <w:szCs w:val="22"/>
        </w:rPr>
      </w:pPr>
      <w:r>
        <w:rPr>
          <w:rFonts w:cs="Arial" w:ascii="Arial" w:hAnsi="Arial"/>
          <w:color w:val="000000"/>
          <w:sz w:val="22"/>
          <w:szCs w:val="22"/>
        </w:rPr>
      </w:r>
    </w:p>
    <w:p>
      <w:pPr>
        <w:pStyle w:val="Normal"/>
        <w:ind w:right="420" w:hanging="0"/>
        <w:jc w:val="both"/>
        <w:rPr/>
      </w:pPr>
      <w:r>
        <w:rPr>
          <w:rFonts w:cs="Arial"/>
          <w:b/>
          <w:szCs w:val="22"/>
        </w:rPr>
        <w:t>La demande de dérogation dûment motivée</w:t>
      </w:r>
      <w:r>
        <w:rPr>
          <w:rFonts w:cs="Arial"/>
          <w:szCs w:val="22"/>
        </w:rPr>
        <w:t>, soumise à la procédure ou aux modalités prévues aux articles R.122-18 ou R.122-20 est jointe à cette notice (formulaire page 14). Cette demande indique les règles auxquelles le demandeur souhaite déroger, les éléments du projet auxquels elles s'appliquent et les justifications de chaque demande (art.4 de l'arrêté du 11 septembre 2007). Si l'établissement remplit une mission de service public, elle indique en outre les mesures de substitution proposées (art. R164-3 II du CCH)</w:t>
      </w:r>
    </w:p>
    <w:p>
      <w:pPr>
        <w:pStyle w:val="Normal"/>
        <w:ind w:right="567" w:hanging="0"/>
        <w:jc w:val="both"/>
        <w:rPr>
          <w:rFonts w:cs="Arial"/>
          <w:sz w:val="24"/>
          <w:szCs w:val="18"/>
        </w:rPr>
      </w:pPr>
      <w:r>
        <w:rPr>
          <w:rFonts w:cs="Arial"/>
          <w:sz w:val="24"/>
          <w:szCs w:val="18"/>
        </w:rPr>
      </w:r>
    </w:p>
    <w:p>
      <w:pPr>
        <w:pStyle w:val="Xl29"/>
        <w:shd w:val="clear" w:color="auto" w:fill="DDDDDD"/>
        <w:spacing w:before="0" w:after="0"/>
        <w:ind w:right="567" w:hanging="0"/>
        <w:jc w:val="both"/>
        <w:rPr/>
      </w:pPr>
      <w:r>
        <w:rPr>
          <w:color w:val="1F4E79" w:themeColor="accent1" w:themeShade="80"/>
          <w:sz w:val="32"/>
        </w:rPr>
        <w:t>4 - COMPOSITION DU DOSSIER</w:t>
      </w:r>
    </w:p>
    <w:p>
      <w:pPr>
        <w:pStyle w:val="Normal"/>
        <w:ind w:right="567" w:hanging="0"/>
        <w:jc w:val="both"/>
        <w:rPr>
          <w:rFonts w:cs="Arial"/>
          <w:b/>
          <w:bCs/>
          <w:sz w:val="16"/>
          <w:szCs w:val="16"/>
        </w:rPr>
      </w:pPr>
      <w:r>
        <w:rPr>
          <w:rFonts w:cs="Arial"/>
          <w:b/>
          <w:bCs/>
          <w:sz w:val="16"/>
          <w:szCs w:val="16"/>
        </w:rPr>
      </w:r>
    </w:p>
    <w:p>
      <w:pPr>
        <w:pStyle w:val="Normal"/>
        <w:jc w:val="both"/>
        <w:rPr/>
      </w:pPr>
      <w:r>
        <w:rPr>
          <w:rFonts w:cs="Arial"/>
          <w:b/>
          <w:bCs/>
          <w:sz w:val="24"/>
          <w:szCs w:val="24"/>
        </w:rPr>
        <w:t>Le dossier transmis pour étude devra comporter les pièces suivantes:</w:t>
      </w:r>
    </w:p>
    <w:p>
      <w:pPr>
        <w:pStyle w:val="Normal"/>
        <w:jc w:val="both"/>
        <w:rPr>
          <w:rFonts w:cs="Arial"/>
          <w:b/>
          <w:bCs/>
          <w:sz w:val="24"/>
          <w:szCs w:val="24"/>
          <w:u w:val="single"/>
        </w:rPr>
      </w:pPr>
      <w:r>
        <w:rPr>
          <w:rFonts w:cs="Arial"/>
          <w:b/>
          <w:bCs/>
          <w:sz w:val="24"/>
          <w:szCs w:val="24"/>
          <w:u w:val="single"/>
        </w:rPr>
      </w:r>
    </w:p>
    <w:p>
      <w:pPr>
        <w:pStyle w:val="Normal"/>
        <w:jc w:val="both"/>
        <w:rPr/>
      </w:pPr>
      <w:r>
        <w:rPr>
          <w:rFonts w:cs="Arial"/>
          <w:szCs w:val="22"/>
          <w:u w:val="single"/>
        </w:rPr>
        <w:t xml:space="preserve">1. Dans le cadre d'un permis de construire, le dossier spécifique PC 39 comporte : </w:t>
        <w:br/>
      </w:r>
      <w:r>
        <w:rPr>
          <w:rFonts w:cs="Arial"/>
          <w:szCs w:val="22"/>
        </w:rPr>
        <w:t xml:space="preserve">(art. </w:t>
      </w:r>
      <w:bookmarkStart w:id="0" w:name="__DdeLink__3796_943626379"/>
      <w:r>
        <w:rPr>
          <w:rFonts w:cs="Arial"/>
          <w:szCs w:val="22"/>
        </w:rPr>
        <w:t>D.122-12 et R.122-13</w:t>
      </w:r>
      <w:bookmarkEnd w:id="0"/>
      <w:r>
        <w:rPr>
          <w:rFonts w:cs="Arial"/>
          <w:szCs w:val="22"/>
        </w:rPr>
        <w:t>) :</w:t>
      </w:r>
    </w:p>
    <w:p>
      <w:pPr>
        <w:pStyle w:val="Contenudetableau"/>
        <w:numPr>
          <w:ilvl w:val="0"/>
          <w:numId w:val="48"/>
        </w:numPr>
        <w:tabs>
          <w:tab w:val="clear" w:pos="709"/>
          <w:tab w:val="left" w:pos="553" w:leader="none"/>
        </w:tabs>
        <w:spacing w:before="0" w:after="113"/>
        <w:jc w:val="both"/>
        <w:rPr/>
      </w:pPr>
      <w:r>
        <w:rPr>
          <w:rFonts w:cs="Arial"/>
        </w:rPr>
        <w:t>Un plan de situation</w:t>
      </w:r>
    </w:p>
    <w:p>
      <w:pPr>
        <w:pStyle w:val="Contenudetableau"/>
        <w:numPr>
          <w:ilvl w:val="0"/>
          <w:numId w:val="48"/>
        </w:numPr>
        <w:tabs>
          <w:tab w:val="clear" w:pos="709"/>
          <w:tab w:val="left" w:pos="553" w:leader="none"/>
        </w:tabs>
        <w:spacing w:before="0" w:after="113"/>
        <w:jc w:val="both"/>
        <w:rPr/>
      </w:pPr>
      <w:r>
        <w:rPr>
          <w:rFonts w:cs="Arial"/>
        </w:rPr>
        <w:t>Un plan coté en trois dimensions précisant les cheminements extérieurs ; conditions de raccordement à la voirie et les espaces extérieurs de l'établissement et entre l'intérieur et l'extérieur du ou des bâtiments constituant l'établissement,</w:t>
      </w:r>
    </w:p>
    <w:p>
      <w:pPr>
        <w:pStyle w:val="Contenudetableau"/>
        <w:numPr>
          <w:ilvl w:val="0"/>
          <w:numId w:val="48"/>
        </w:numPr>
        <w:tabs>
          <w:tab w:val="clear" w:pos="709"/>
          <w:tab w:val="left" w:pos="553" w:leader="none"/>
        </w:tabs>
        <w:spacing w:before="0" w:after="113"/>
        <w:jc w:val="both"/>
        <w:rPr/>
      </w:pPr>
      <w:r>
        <w:rPr>
          <w:rFonts w:cs="Arial"/>
        </w:rPr>
        <w:t>Un plan coté en trois dimensions précisant les circulations intérieures horizontales et verticales ; les aires de stationnement et s'il y a lieu les locaux sanitaires destinés au public,</w:t>
      </w:r>
    </w:p>
    <w:p>
      <w:pPr>
        <w:pStyle w:val="Contenudetableau"/>
        <w:numPr>
          <w:ilvl w:val="0"/>
          <w:numId w:val="48"/>
        </w:numPr>
        <w:tabs>
          <w:tab w:val="clear" w:pos="709"/>
          <w:tab w:val="left" w:pos="553" w:leader="none"/>
        </w:tabs>
        <w:spacing w:before="0" w:after="113"/>
        <w:jc w:val="both"/>
        <w:rPr/>
      </w:pPr>
      <w:r>
        <w:rPr>
          <w:rFonts w:cs="Arial"/>
        </w:rPr>
        <w:t>La présente notice d'accessibilité</w:t>
      </w:r>
    </w:p>
    <w:p>
      <w:pPr>
        <w:pStyle w:val="Contenudetableau"/>
        <w:numPr>
          <w:ilvl w:val="0"/>
          <w:numId w:val="48"/>
        </w:numPr>
        <w:tabs>
          <w:tab w:val="clear" w:pos="709"/>
          <w:tab w:val="left" w:pos="553" w:leader="none"/>
        </w:tabs>
        <w:spacing w:before="0" w:after="113"/>
        <w:jc w:val="both"/>
        <w:rPr/>
      </w:pPr>
      <w:r>
        <w:rPr>
          <w:rFonts w:cs="Arial"/>
          <w:szCs w:val="22"/>
        </w:rPr>
        <w:t>Le formulaire "</w:t>
      </w:r>
      <w:r>
        <w:rPr/>
        <w:t xml:space="preserve"> Dossier spécifique permettant de vérifier la conformité des établissements recevant du public aux règles d’accessibilité et de sécurité contre l’incendie et la panique"</w:t>
      </w:r>
      <w:r>
        <w:rPr>
          <w:rFonts w:cs="Arial"/>
          <w:szCs w:val="22"/>
        </w:rPr>
        <w:t>.</w:t>
      </w:r>
    </w:p>
    <w:p>
      <w:pPr>
        <w:pStyle w:val="Contenudetableau"/>
        <w:tabs>
          <w:tab w:val="clear" w:pos="709"/>
          <w:tab w:val="left" w:pos="553" w:leader="none"/>
        </w:tabs>
        <w:jc w:val="both"/>
        <w:rPr/>
      </w:pPr>
      <w:r>
        <w:rPr>
          <w:rFonts w:cs="Arial"/>
          <w:szCs w:val="22"/>
          <w:u w:val="single"/>
        </w:rPr>
        <w:t>2. Dans le cadre de l'autorisation de travaux, le dossier comporte</w:t>
      </w:r>
      <w:r>
        <w:rPr>
          <w:rFonts w:cs="Arial"/>
          <w:szCs w:val="22"/>
        </w:rPr>
        <w:t> :</w:t>
        <w:br/>
        <w:t xml:space="preserve">(art. D.122-12 et R.122-13) : </w:t>
      </w:r>
    </w:p>
    <w:p>
      <w:pPr>
        <w:pStyle w:val="Contenudetableau"/>
        <w:numPr>
          <w:ilvl w:val="0"/>
          <w:numId w:val="49"/>
        </w:numPr>
        <w:tabs>
          <w:tab w:val="left" w:pos="553" w:leader="none"/>
          <w:tab w:val="left" w:pos="709" w:leader="none"/>
        </w:tabs>
        <w:spacing w:before="0" w:after="113"/>
        <w:ind w:left="1418" w:hanging="360"/>
        <w:jc w:val="both"/>
        <w:rPr/>
      </w:pPr>
      <w:r>
        <w:rPr>
          <w:rFonts w:cs="Arial"/>
          <w:szCs w:val="22"/>
        </w:rPr>
        <w:t>Un plan de situation</w:t>
      </w:r>
    </w:p>
    <w:p>
      <w:pPr>
        <w:pStyle w:val="Contenudetableau"/>
        <w:numPr>
          <w:ilvl w:val="0"/>
          <w:numId w:val="49"/>
        </w:numPr>
        <w:tabs>
          <w:tab w:val="left" w:pos="553" w:leader="none"/>
          <w:tab w:val="left" w:pos="709" w:leader="none"/>
        </w:tabs>
        <w:spacing w:before="0" w:after="113"/>
        <w:ind w:left="1418" w:hanging="360"/>
        <w:jc w:val="both"/>
        <w:rPr/>
      </w:pPr>
      <w:r>
        <w:rPr>
          <w:rFonts w:cs="Arial"/>
          <w:szCs w:val="22"/>
        </w:rPr>
        <w:t>Le formulaire d'autorisation de travaux, Cerfa 13824*04</w:t>
      </w:r>
    </w:p>
    <w:p>
      <w:pPr>
        <w:pStyle w:val="Contenudetableau"/>
        <w:numPr>
          <w:ilvl w:val="0"/>
          <w:numId w:val="49"/>
        </w:numPr>
        <w:tabs>
          <w:tab w:val="clear" w:pos="709"/>
          <w:tab w:val="left" w:pos="600" w:leader="none"/>
        </w:tabs>
        <w:spacing w:before="0" w:after="113"/>
        <w:ind w:left="1418" w:hanging="360"/>
        <w:jc w:val="both"/>
        <w:rPr/>
      </w:pPr>
      <w:r>
        <w:rPr>
          <w:rFonts w:cs="Arial"/>
        </w:rPr>
        <w:t>Un plan coté en trois dimensions précisant les cheminements extérieurs ; conditions de raccordement à la voirie et les espaces extérieurs de l'établissement et entre l'intérieur et l'extérieur du ou des bâtiments constituant l'établissement,</w:t>
      </w:r>
    </w:p>
    <w:p>
      <w:pPr>
        <w:pStyle w:val="Contenudetableau"/>
        <w:numPr>
          <w:ilvl w:val="0"/>
          <w:numId w:val="49"/>
        </w:numPr>
        <w:tabs>
          <w:tab w:val="left" w:pos="553" w:leader="none"/>
          <w:tab w:val="left" w:pos="709" w:leader="none"/>
        </w:tabs>
        <w:spacing w:before="0" w:after="113"/>
        <w:ind w:left="1418" w:hanging="360"/>
        <w:jc w:val="both"/>
        <w:rPr/>
      </w:pPr>
      <w:r>
        <w:rPr>
          <w:rFonts w:cs="Arial"/>
        </w:rPr>
        <w:t>Un plan coté en trois dimensions précisant les circulations intérieures horizontales et verticales ; les aires de stationnement et s'il y a lieu les locaux sanitaires destinés au public,</w:t>
      </w:r>
    </w:p>
    <w:p>
      <w:pPr>
        <w:pStyle w:val="Contenudetableau"/>
        <w:numPr>
          <w:ilvl w:val="0"/>
          <w:numId w:val="49"/>
        </w:numPr>
        <w:tabs>
          <w:tab w:val="left" w:pos="553" w:leader="none"/>
          <w:tab w:val="left" w:pos="709" w:leader="none"/>
        </w:tabs>
        <w:spacing w:before="0" w:after="113"/>
        <w:ind w:left="1418" w:hanging="360"/>
        <w:jc w:val="both"/>
        <w:rPr/>
      </w:pPr>
      <w:r>
        <w:rPr>
          <w:rFonts w:cs="Arial"/>
        </w:rPr>
        <w:t>La présente notice d'accessibilité.</w:t>
      </w:r>
    </w:p>
    <w:p>
      <w:pPr>
        <w:pStyle w:val="Normal"/>
        <w:ind w:right="567" w:hanging="0"/>
        <w:jc w:val="both"/>
        <w:rPr>
          <w:rFonts w:cs="Arial"/>
          <w:sz w:val="12"/>
          <w:szCs w:val="12"/>
        </w:rPr>
      </w:pPr>
      <w:r>
        <w:rPr>
          <w:rFonts w:cs="Arial"/>
          <w:sz w:val="12"/>
          <w:szCs w:val="12"/>
        </w:rPr>
      </w:r>
    </w:p>
    <w:p>
      <w:pPr>
        <w:pStyle w:val="Normal"/>
        <w:ind w:right="-2" w:hanging="0"/>
        <w:jc w:val="both"/>
        <w:rPr/>
      </w:pPr>
      <w:r>
        <w:rPr>
          <w:rFonts w:cs="Arial"/>
          <w:b/>
          <w:bCs/>
          <w:sz w:val="28"/>
          <w:szCs w:val="28"/>
          <w:u w:val="single"/>
        </w:rPr>
        <w:t>Remarque :</w:t>
      </w:r>
      <w:r>
        <w:rPr>
          <w:rFonts w:cs="Arial"/>
          <w:b/>
          <w:bCs/>
          <w:sz w:val="28"/>
          <w:szCs w:val="28"/>
        </w:rPr>
        <w:t xml:space="preserve"> </w:t>
      </w:r>
      <w:r>
        <w:rPr>
          <w:rFonts w:cs="Arial"/>
          <w:b/>
          <w:bCs/>
          <w:sz w:val="24"/>
          <w:szCs w:val="24"/>
        </w:rPr>
        <w:t>les plans cotés doivent faire apparaître aux moyens de détails :</w:t>
      </w:r>
    </w:p>
    <w:p>
      <w:pPr>
        <w:pStyle w:val="Normal"/>
        <w:ind w:right="-2" w:hanging="0"/>
        <w:jc w:val="center"/>
        <w:rPr/>
      </w:pPr>
      <w:r>
        <w:rPr>
          <w:rFonts w:cs="Arial"/>
          <w:b/>
          <w:bCs/>
          <w:sz w:val="24"/>
          <w:szCs w:val="24"/>
        </w:rPr>
        <w:t>(Article 2 de l'arrêté du 11 septembre 2007)</w:t>
      </w:r>
    </w:p>
    <w:p>
      <w:pPr>
        <w:pStyle w:val="Normal"/>
        <w:ind w:right="-2" w:hanging="0"/>
        <w:jc w:val="both"/>
        <w:rPr>
          <w:rFonts w:cs="Arial"/>
          <w:b/>
          <w:bCs/>
          <w:sz w:val="28"/>
          <w:szCs w:val="28"/>
          <w:u w:val="single"/>
        </w:rPr>
      </w:pPr>
      <w:r>
        <w:rPr>
          <w:rFonts w:cs="Arial"/>
          <w:b/>
          <w:bCs/>
          <w:sz w:val="28"/>
          <w:szCs w:val="28"/>
          <w:u w:val="single"/>
        </w:rPr>
      </w:r>
    </w:p>
    <w:p>
      <w:pPr>
        <w:pStyle w:val="Normal"/>
        <w:ind w:right="-2" w:hanging="0"/>
        <w:jc w:val="both"/>
        <w:rPr/>
      </w:pPr>
      <w:r>
        <w:rPr>
          <w:rFonts w:cs="Arial"/>
          <w:b/>
          <w:sz w:val="24"/>
          <w:szCs w:val="24"/>
        </w:rPr>
        <w:t>- Faire figurer</w:t>
      </w:r>
      <w:r>
        <w:rPr>
          <w:rFonts w:cs="Arial"/>
          <w:sz w:val="24"/>
          <w:szCs w:val="24"/>
        </w:rPr>
        <w:t xml:space="preserve"> les rectangles d'espace d'usage (0,80 x 1,30) et les aires de rotation (</w:t>
      </w:r>
      <w:r>
        <w:rPr>
          <w:rFonts w:cs="Arial"/>
          <w:sz w:val="28"/>
          <w:szCs w:val="28"/>
        </w:rPr>
        <w:t>ø</w:t>
      </w:r>
      <w:r>
        <w:rPr>
          <w:rFonts w:cs="Arial"/>
          <w:i/>
          <w:sz w:val="24"/>
          <w:szCs w:val="24"/>
        </w:rPr>
        <w:t xml:space="preserve"> </w:t>
      </w:r>
      <w:r>
        <w:rPr>
          <w:rFonts w:cs="Arial"/>
          <w:sz w:val="24"/>
          <w:szCs w:val="24"/>
        </w:rPr>
        <w:t>1,50 m), les circuits piétons, les pentes des plans inclinés,…</w:t>
      </w:r>
    </w:p>
    <w:p>
      <w:pPr>
        <w:pStyle w:val="Normal"/>
        <w:ind w:right="-2" w:hanging="0"/>
        <w:jc w:val="both"/>
        <w:rPr/>
      </w:pPr>
      <w:r>
        <w:rPr>
          <w:rFonts w:cs="Arial"/>
          <w:sz w:val="24"/>
          <w:szCs w:val="24"/>
        </w:rPr>
        <w:t xml:space="preserve">- </w:t>
      </w:r>
      <w:r>
        <w:rPr>
          <w:rFonts w:cs="Arial"/>
          <w:b/>
          <w:sz w:val="24"/>
          <w:szCs w:val="24"/>
        </w:rPr>
        <w:t xml:space="preserve">Indiquer et coter </w:t>
      </w:r>
      <w:r>
        <w:rPr>
          <w:rFonts w:cs="Arial"/>
          <w:sz w:val="24"/>
          <w:szCs w:val="24"/>
        </w:rPr>
        <w:t>les stationnements, les cheminements usuels et les niveaux actuels et finis.</w:t>
      </w:r>
    </w:p>
    <w:p>
      <w:pPr>
        <w:pStyle w:val="Normal"/>
        <w:ind w:right="-2" w:hanging="0"/>
        <w:jc w:val="both"/>
        <w:rPr/>
      </w:pPr>
      <w:r>
        <w:rPr>
          <w:rFonts w:cs="Arial"/>
          <w:sz w:val="24"/>
          <w:szCs w:val="24"/>
        </w:rPr>
        <w:t xml:space="preserve">- </w:t>
      </w:r>
      <w:r>
        <w:rPr>
          <w:rFonts w:cs="Arial"/>
          <w:b/>
          <w:sz w:val="24"/>
          <w:szCs w:val="24"/>
        </w:rPr>
        <w:t>Coter</w:t>
      </w:r>
      <w:r>
        <w:rPr>
          <w:rFonts w:cs="Arial"/>
          <w:sz w:val="24"/>
          <w:szCs w:val="24"/>
        </w:rPr>
        <w:t xml:space="preserve"> les paliers, SAS, dégagements, couloirs, portes, pièces sanitaires, etc…</w:t>
      </w:r>
      <w:r>
        <w:br w:type="page"/>
      </w:r>
    </w:p>
    <w:p>
      <w:pPr>
        <w:pStyle w:val="Xl29"/>
        <w:shd w:val="clear" w:color="auto" w:fill="DDDDDD"/>
        <w:spacing w:before="0" w:after="0"/>
        <w:ind w:right="567" w:hanging="0"/>
        <w:jc w:val="both"/>
        <w:rPr/>
      </w:pPr>
      <w:r>
        <w:rPr>
          <w:color w:val="1F4E79" w:themeColor="accent1" w:themeShade="80"/>
          <w:sz w:val="32"/>
        </w:rPr>
        <w:t xml:space="preserve">5 - DONNÉES CONCERNANT L'OPÉRATION </w:t>
      </w:r>
    </w:p>
    <w:p>
      <w:pPr>
        <w:pStyle w:val="Normal"/>
        <w:ind w:right="567" w:hanging="0"/>
        <w:jc w:val="both"/>
        <w:rPr>
          <w:rFonts w:cs="Arial"/>
          <w:sz w:val="12"/>
          <w:szCs w:val="12"/>
        </w:rPr>
      </w:pPr>
      <w:r>
        <w:rPr>
          <w:rFonts w:cs="Arial"/>
          <w:sz w:val="12"/>
          <w:szCs w:val="12"/>
        </w:rPr>
      </w:r>
    </w:p>
    <w:p>
      <w:pPr>
        <w:pStyle w:val="Normal"/>
        <w:numPr>
          <w:ilvl w:val="0"/>
          <w:numId w:val="46"/>
        </w:numPr>
        <w:ind w:left="0" w:right="567" w:hanging="0"/>
        <w:jc w:val="both"/>
        <w:rPr/>
      </w:pPr>
      <w:r>
        <w:rPr>
          <w:rFonts w:cs="Arial"/>
          <w:b/>
          <w:bCs/>
          <w:sz w:val="28"/>
          <w:szCs w:val="28"/>
        </w:rPr>
        <w:t>Désignation de l'opération</w:t>
      </w:r>
      <w:r>
        <w:rPr>
          <w:rFonts w:cs="Arial"/>
          <w:b/>
          <w:bCs/>
          <w:sz w:val="24"/>
          <w:szCs w:val="24"/>
        </w:rPr>
        <w:t xml:space="preserve"> </w:t>
      </w:r>
    </w:p>
    <w:p>
      <w:pPr>
        <w:pStyle w:val="Normal"/>
        <w:ind w:right="567" w:hanging="0"/>
        <w:jc w:val="both"/>
        <w:rPr>
          <w:rFonts w:cs="Arial"/>
          <w:sz w:val="12"/>
          <w:szCs w:val="12"/>
        </w:rPr>
      </w:pPr>
      <w:r>
        <w:rPr>
          <w:rFonts w:cs="Arial"/>
          <w:sz w:val="12"/>
          <w:szCs w:val="12"/>
        </w:rPr>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pPr>
      <w:r>
        <w:rPr>
          <w:rFonts w:cs="Arial"/>
          <w:b/>
          <w:bCs/>
          <w:sz w:val="24"/>
          <w:szCs w:val="24"/>
        </w:rPr>
        <w:t xml:space="preserve">1 – DEMANDEUR (BÉNÉFICIAIRE DE L'AUTORISATION) </w:t>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pPr>
      <w:r>
        <w:rPr>
          <w:rFonts w:cs="Arial"/>
          <w:sz w:val="24"/>
          <w:szCs w:val="24"/>
        </w:rPr>
        <w:t xml:space="preserve">Prénoms, </w:t>
      </w:r>
      <w:r>
        <w:rPr>
          <w:rFonts w:cs="Arial"/>
          <w:b/>
          <w:bCs/>
          <w:sz w:val="24"/>
          <w:szCs w:val="24"/>
        </w:rPr>
        <w:t>NOM :</w:t>
      </w:r>
      <w:r>
        <w:rPr>
          <w:rFonts w:cs="Arial"/>
          <w:sz w:val="24"/>
          <w:szCs w:val="24"/>
        </w:rPr>
        <w:t xml:space="preserve"> </w:t>
      </w:r>
      <w:r>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o:allowincell="t" style="width:339.9pt;height:16.85pt" type="#_x0000_t75"/>
          <w:control r:id="rId4" w:name="Champ de motif 1" w:shapeid="control_shape_0"/>
        </w:object>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rFonts w:cs="Arial"/>
          <w:sz w:val="12"/>
          <w:szCs w:val="12"/>
        </w:rPr>
      </w:pPr>
      <w:r>
        <w:rPr>
          <w:rFonts w:cs="Arial"/>
          <w:sz w:val="12"/>
          <w:szCs w:val="12"/>
        </w:rPr>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pPr>
      <w:r>
        <w:rPr>
          <w:rFonts w:cs="Arial"/>
          <w:i/>
          <w:iCs/>
          <w:sz w:val="24"/>
          <w:szCs w:val="24"/>
        </w:rPr>
        <w:t>Pour les personnes morales, nom du représentant légal ou statutaire</w:t>
      </w:r>
      <w:r>
        <w:rPr>
          <w:rFonts w:cs="Arial"/>
          <w:b/>
          <w:bCs/>
          <w:sz w:val="24"/>
          <w:szCs w:val="24"/>
        </w:rPr>
        <w:t xml:space="preserve"> : </w:t>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pPr>
      <w:r>
        <w:rPr/>
        <w:object>
          <v:shape id="control_shape_1" o:allowincell="t" style="width:434.65pt;height:17.4pt" type="#_x0000_t75"/>
          <w:control r:id="rId5" w:name="Champ de motif 1" w:shapeid="control_shape_1"/>
        </w:object>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sz w:val="12"/>
          <w:szCs w:val="12"/>
        </w:rPr>
      </w:pPr>
      <w:r>
        <w:rPr>
          <w:sz w:val="12"/>
          <w:szCs w:val="12"/>
        </w:rPr>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pPr>
      <w:r>
        <w:rPr>
          <w:rFonts w:cs="Arial"/>
          <w:b/>
          <w:bCs/>
          <w:sz w:val="24"/>
          <w:szCs w:val="24"/>
        </w:rPr>
        <w:t>ADRESSE</w:t>
      </w:r>
      <w:r>
        <w:rPr>
          <w:rFonts w:cs="Arial"/>
          <w:sz w:val="24"/>
          <w:szCs w:val="24"/>
        </w:rPr>
        <w:t xml:space="preserve"> : </w:t>
      </w:r>
      <w:r>
        <w:rPr/>
        <w:object>
          <v:shape id="control_shape_2" o:allowincell="t" style="width:366.65pt;height:17.15pt" type="#_x0000_t75"/>
          <w:control r:id="rId6" w:name="Champ de motif 1" w:shapeid="control_shape_2"/>
        </w:object>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rFonts w:cs="Arial"/>
          <w:sz w:val="12"/>
          <w:szCs w:val="12"/>
        </w:rPr>
      </w:pPr>
      <w:r>
        <w:rPr>
          <w:rFonts w:cs="Arial"/>
          <w:sz w:val="12"/>
          <w:szCs w:val="12"/>
        </w:rPr>
      </w:r>
    </w:p>
    <w:p>
      <w:pPr>
        <w:pStyle w:val="Normal"/>
        <w:pBdr>
          <w:top w:val="single" w:sz="4" w:space="1" w:color="000001"/>
          <w:left w:val="single" w:sz="4" w:space="4" w:color="000001"/>
          <w:bottom w:val="single" w:sz="4" w:space="1" w:color="000001"/>
          <w:right w:val="single" w:sz="4" w:space="4" w:color="000001"/>
        </w:pBdr>
        <w:tabs>
          <w:tab w:val="clear" w:pos="709"/>
          <w:tab w:val="left" w:pos="3682" w:leader="none"/>
          <w:tab w:val="right" w:pos="8931" w:leader="dot"/>
        </w:tabs>
        <w:ind w:right="567" w:hanging="0"/>
        <w:jc w:val="both"/>
        <w:rPr/>
      </w:pPr>
      <w:r>
        <w:rPr>
          <w:rFonts w:cs="Arial"/>
          <w:sz w:val="24"/>
          <w:szCs w:val="24"/>
        </w:rPr>
        <w:t xml:space="preserve">Code Postal :  </w:t>
        <w:tab/>
        <w:t xml:space="preserve">Commune : </w:t>
      </w:r>
      <w:r>
        <w:rPr/>
        <w:pict>
          <v:shapetype id="_x0000_t201" coordsize="21600,21600" o:spt="201" path="m,l,21600l21600,21600l21600,xe">
            <v:stroke joinstyle="miter"/>
            <v:path shadowok="f" o:extrusionok="f" strokeok="f" fillok="f" o:connecttype="rect"/>
            <o:lock v:ext="edit" shapetype="t"/>
          </v:shapetype>
          <v:shape id="control_shape_3" o:allowincell="f" style="position:absolute;margin-left:79.6pt;margin-top:0.7pt;width:91.85pt;height:15.45pt" type="#_x0000_t201">
            <w10:wrap type="none"/>
          </v:shape>
          <w:control r:id="rId7" w:name="Champ formaté 1" w:shapeid="control_shape_3"/>
        </w:pict>
        <w:object>
          <v:shape id="control_shape_4" o:allowincell="t" style="width:185.2pt;height:14.8pt" type="#_x0000_t75"/>
          <w:control r:id="rId8" w:name="Champ de motif 1" w:shapeid="control_shape_4"/>
        </w:object>
      </w:r>
    </w:p>
    <w:p>
      <w:pPr>
        <w:pStyle w:val="Normal"/>
        <w:pBdr>
          <w:top w:val="single" w:sz="4" w:space="1" w:color="000001"/>
          <w:left w:val="single" w:sz="4" w:space="4" w:color="000001"/>
          <w:bottom w:val="single" w:sz="4" w:space="1" w:color="000001"/>
          <w:right w:val="single" w:sz="4" w:space="4" w:color="000001"/>
        </w:pBdr>
        <w:tabs>
          <w:tab w:val="clear" w:pos="709"/>
          <w:tab w:val="left" w:pos="4536" w:leader="none"/>
          <w:tab w:val="right" w:pos="8931" w:leader="dot"/>
        </w:tabs>
        <w:ind w:right="567" w:hanging="0"/>
        <w:jc w:val="both"/>
        <w:rPr>
          <w:rFonts w:cs="Arial"/>
          <w:sz w:val="12"/>
          <w:szCs w:val="12"/>
        </w:rPr>
      </w:pPr>
      <w:r>
        <w:rPr>
          <w:rFonts w:cs="Arial"/>
          <w:sz w:val="12"/>
          <w:szCs w:val="12"/>
        </w:rPr>
      </w:r>
    </w:p>
    <w:p>
      <w:pPr>
        <w:pStyle w:val="Normal"/>
        <w:pBdr>
          <w:top w:val="single" w:sz="4" w:space="1" w:color="000001"/>
          <w:left w:val="single" w:sz="4" w:space="4" w:color="000001"/>
          <w:bottom w:val="single" w:sz="4" w:space="1" w:color="000001"/>
          <w:right w:val="single" w:sz="4" w:space="4" w:color="000001"/>
        </w:pBdr>
        <w:tabs>
          <w:tab w:val="clear" w:pos="709"/>
          <w:tab w:val="left" w:pos="4536" w:leader="none"/>
          <w:tab w:val="right" w:pos="9495" w:leader="dot"/>
        </w:tabs>
        <w:ind w:right="567" w:hanging="0"/>
        <w:jc w:val="both"/>
        <w:rPr/>
      </w:pPr>
      <w:r>
        <w:rPr>
          <w:rFonts w:cs="Arial"/>
          <w:sz w:val="24"/>
          <w:szCs w:val="24"/>
        </w:rPr>
        <w:t xml:space="preserve">Téléphone Fixe : </w:t>
      </w:r>
      <w:r>
        <w:rPr/>
        <w:object>
          <v:shape id="control_shape_5" o:allowincell="t" style="width:185.2pt;height:14.55pt" type="#_x0000_t75"/>
          <w:control r:id="rId9" w:name="Champ de motif 1" w:shapeid="control_shape_5"/>
        </w:object>
      </w:r>
    </w:p>
    <w:p>
      <w:pPr>
        <w:pStyle w:val="Normal"/>
        <w:pBdr>
          <w:top w:val="single" w:sz="4" w:space="1" w:color="000001"/>
          <w:left w:val="single" w:sz="4" w:space="4" w:color="000001"/>
          <w:bottom w:val="single" w:sz="4" w:space="1" w:color="000001"/>
          <w:right w:val="single" w:sz="4" w:space="4" w:color="000001"/>
        </w:pBdr>
        <w:tabs>
          <w:tab w:val="clear" w:pos="709"/>
          <w:tab w:val="left" w:pos="4536" w:leader="none"/>
          <w:tab w:val="right" w:pos="9495" w:leader="dot"/>
        </w:tabs>
        <w:ind w:right="567" w:hanging="0"/>
        <w:jc w:val="both"/>
        <w:rPr>
          <w:rFonts w:cs="Arial"/>
          <w:sz w:val="12"/>
          <w:szCs w:val="12"/>
        </w:rPr>
      </w:pPr>
      <w:r>
        <w:rPr>
          <w:rFonts w:cs="Arial"/>
          <w:sz w:val="12"/>
          <w:szCs w:val="12"/>
        </w:rPr>
      </w:r>
    </w:p>
    <w:p>
      <w:pPr>
        <w:pStyle w:val="Normal"/>
        <w:pBdr>
          <w:top w:val="single" w:sz="4" w:space="1" w:color="000001"/>
          <w:left w:val="single" w:sz="4" w:space="4" w:color="000001"/>
          <w:bottom w:val="single" w:sz="4" w:space="1" w:color="000001"/>
          <w:right w:val="single" w:sz="4" w:space="4" w:color="000001"/>
        </w:pBdr>
        <w:tabs>
          <w:tab w:val="clear" w:pos="709"/>
          <w:tab w:val="left" w:pos="4536" w:leader="none"/>
          <w:tab w:val="right" w:pos="9495" w:leader="dot"/>
        </w:tabs>
        <w:ind w:right="567" w:hanging="0"/>
        <w:jc w:val="both"/>
        <w:rPr/>
      </w:pPr>
      <w:r>
        <w:rPr>
          <w:rFonts w:cs="Arial"/>
          <w:sz w:val="24"/>
          <w:szCs w:val="24"/>
        </w:rPr>
        <w:t xml:space="preserve">Portable : </w:t>
      </w:r>
      <w:r>
        <w:rPr/>
        <w:object>
          <v:shape id="control_shape_6" o:allowincell="t" style="width:185.2pt;height:18.4pt" type="#_x0000_t75"/>
          <w:control r:id="rId10" w:name="Champ de motif 1" w:shapeid="control_shape_6"/>
        </w:object>
      </w:r>
    </w:p>
    <w:p>
      <w:pPr>
        <w:pStyle w:val="Normal"/>
        <w:pBdr>
          <w:top w:val="single" w:sz="4" w:space="1" w:color="000001"/>
          <w:left w:val="single" w:sz="4" w:space="4" w:color="000001"/>
          <w:bottom w:val="single" w:sz="4" w:space="1" w:color="000001"/>
          <w:right w:val="single" w:sz="4" w:space="4" w:color="000001"/>
        </w:pBdr>
        <w:tabs>
          <w:tab w:val="clear" w:pos="709"/>
          <w:tab w:val="left" w:pos="4536" w:leader="none"/>
          <w:tab w:val="right" w:pos="9495" w:leader="dot"/>
        </w:tabs>
        <w:ind w:right="567" w:hanging="0"/>
        <w:jc w:val="both"/>
        <w:rPr>
          <w:rFonts w:cs="Arial"/>
          <w:sz w:val="12"/>
          <w:szCs w:val="12"/>
        </w:rPr>
      </w:pPr>
      <w:r>
        <w:rPr>
          <w:rFonts w:cs="Arial"/>
          <w:sz w:val="12"/>
          <w:szCs w:val="12"/>
        </w:rPr>
      </w:r>
    </w:p>
    <w:p>
      <w:pPr>
        <w:pStyle w:val="Normal"/>
        <w:pBdr>
          <w:top w:val="single" w:sz="4" w:space="1" w:color="000001"/>
          <w:left w:val="single" w:sz="4" w:space="4" w:color="000001"/>
          <w:bottom w:val="single" w:sz="4" w:space="1" w:color="000001"/>
          <w:right w:val="single" w:sz="4" w:space="4" w:color="000001"/>
        </w:pBdr>
        <w:tabs>
          <w:tab w:val="clear" w:pos="709"/>
          <w:tab w:val="right" w:pos="4962" w:leader="dot"/>
          <w:tab w:val="right" w:pos="8931" w:leader="dot"/>
        </w:tabs>
        <w:ind w:right="567" w:hanging="0"/>
        <w:jc w:val="both"/>
        <w:rPr/>
      </w:pPr>
      <w:r>
        <w:rPr>
          <w:rFonts w:cs="Arial"/>
          <w:sz w:val="24"/>
          <w:szCs w:val="24"/>
        </w:rPr>
        <w:t xml:space="preserve">Courriel : </w:t>
      </w:r>
      <w:r>
        <w:rPr/>
        <w:object>
          <v:shape id="control_shape_7" o:allowincell="t" style="width:185.2pt;height:18.1pt" type="#_x0000_t75"/>
          <w:control r:id="rId11" w:name="Champ de motif 1" w:shapeid="control_shape_7"/>
        </w:object>
      </w:r>
      <w:r>
        <w:rPr>
          <w:rFonts w:cs="Arial"/>
          <w:sz w:val="24"/>
          <w:szCs w:val="24"/>
        </w:rPr>
        <w:t xml:space="preserve"> @ </w:t>
      </w:r>
      <w:r>
        <w:rPr/>
        <w:object>
          <v:shape id="control_shape_8" o:allowincell="t" style="width:185.2pt;height:15.4pt" type="#_x0000_t75"/>
          <w:control r:id="rId12" w:name="Champ de motif 1" w:shapeid="control_shape_8"/>
        </w:object>
      </w:r>
    </w:p>
    <w:p>
      <w:pPr>
        <w:pStyle w:val="Normal"/>
        <w:pBdr>
          <w:top w:val="single" w:sz="4" w:space="1" w:color="000001"/>
          <w:left w:val="single" w:sz="4" w:space="4" w:color="000001"/>
          <w:bottom w:val="single" w:sz="4" w:space="1" w:color="000001"/>
          <w:right w:val="single" w:sz="4" w:space="4" w:color="000001"/>
        </w:pBdr>
        <w:tabs>
          <w:tab w:val="clear" w:pos="709"/>
          <w:tab w:val="right" w:pos="4962" w:leader="dot"/>
          <w:tab w:val="right" w:pos="9495" w:leader="dot"/>
        </w:tabs>
        <w:ind w:right="567" w:hanging="0"/>
        <w:jc w:val="both"/>
        <w:rPr>
          <w:rFonts w:cs="Arial"/>
          <w:sz w:val="12"/>
          <w:szCs w:val="12"/>
        </w:rPr>
      </w:pPr>
      <w:r>
        <w:rPr>
          <w:rFonts w:cs="Arial"/>
          <w:sz w:val="12"/>
          <w:szCs w:val="12"/>
        </w:rPr>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pPr>
      <w:r>
        <w:rPr>
          <w:rFonts w:cs="Arial"/>
          <w:b/>
          <w:bCs/>
          <w:sz w:val="24"/>
          <w:szCs w:val="24"/>
        </w:rPr>
        <w:t>2 – ÉTABLISSEMENT</w:t>
      </w:r>
    </w:p>
    <w:p>
      <w:pPr>
        <w:pStyle w:val="Normal"/>
        <w:pBdr>
          <w:top w:val="single" w:sz="4" w:space="1" w:color="000001"/>
          <w:left w:val="single" w:sz="4" w:space="4" w:color="000001"/>
          <w:bottom w:val="single" w:sz="4" w:space="1" w:color="000001"/>
          <w:right w:val="single" w:sz="4" w:space="4" w:color="000001"/>
        </w:pBdr>
        <w:tabs>
          <w:tab w:val="clear" w:pos="709"/>
          <w:tab w:val="right" w:pos="4962" w:leader="dot"/>
          <w:tab w:val="right" w:pos="9495" w:leader="dot"/>
        </w:tabs>
        <w:ind w:right="567" w:hanging="0"/>
        <w:jc w:val="both"/>
        <w:rPr>
          <w:rFonts w:cs="Arial"/>
          <w:b/>
          <w:bCs/>
          <w:sz w:val="12"/>
          <w:szCs w:val="12"/>
        </w:rPr>
      </w:pPr>
      <w:r>
        <w:rPr>
          <w:rFonts w:cs="Arial"/>
          <w:b/>
          <w:bCs/>
          <w:sz w:val="12"/>
          <w:szCs w:val="12"/>
        </w:rPr>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pPr>
      <w:r>
        <w:rPr>
          <w:rFonts w:cs="Arial"/>
          <w:b/>
          <w:bCs/>
          <w:sz w:val="24"/>
          <w:szCs w:val="24"/>
        </w:rPr>
        <w:t>NOM DE L’ÉTABLISSEMENT</w:t>
      </w:r>
      <w:r>
        <w:rPr>
          <w:rFonts w:cs="Arial"/>
          <w:sz w:val="24"/>
          <w:szCs w:val="24"/>
        </w:rPr>
        <w:t xml:space="preserve"> : </w:t>
      </w:r>
      <w:r>
        <w:rPr/>
        <w:object>
          <v:shape id="control_shape_9" o:allowincell="t" style="width:263.15pt;height:16.75pt" type="#_x0000_t75"/>
          <w:control r:id="rId13" w:name="Champ de motif 1" w:shapeid="control_shape_9"/>
        </w:object>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rFonts w:cs="Arial"/>
          <w:sz w:val="12"/>
          <w:szCs w:val="12"/>
        </w:rPr>
      </w:pPr>
      <w:r>
        <w:rPr>
          <w:rFonts w:cs="Arial"/>
          <w:sz w:val="12"/>
          <w:szCs w:val="12"/>
        </w:rPr>
      </w:r>
    </w:p>
    <w:p>
      <w:pPr>
        <w:pStyle w:val="Normal"/>
        <w:pBdr>
          <w:top w:val="single" w:sz="4" w:space="1" w:color="000001"/>
          <w:left w:val="single" w:sz="4" w:space="4" w:color="000001"/>
          <w:bottom w:val="single" w:sz="4" w:space="1" w:color="000001"/>
          <w:right w:val="single" w:sz="4" w:space="4" w:color="000001"/>
        </w:pBdr>
        <w:tabs>
          <w:tab w:val="clear" w:pos="709"/>
          <w:tab w:val="right" w:pos="6237" w:leader="dot"/>
          <w:tab w:val="right" w:pos="8931" w:leader="dot"/>
        </w:tabs>
        <w:ind w:right="567" w:hanging="0"/>
        <w:jc w:val="both"/>
        <w:rPr/>
      </w:pPr>
      <w:r>
        <w:rPr>
          <w:rFonts w:cs="Arial"/>
          <w:b/>
          <w:bCs/>
          <w:sz w:val="24"/>
          <w:szCs w:val="24"/>
        </w:rPr>
        <w:t>ACTIVITÉ avant travaux</w:t>
      </w:r>
      <w:r>
        <w:rPr>
          <w:rFonts w:cs="Arial"/>
          <w:sz w:val="24"/>
          <w:szCs w:val="24"/>
        </w:rPr>
        <w:t xml:space="preserve"> : </w:t>
      </w:r>
      <w:r>
        <w:rPr/>
        <w:object>
          <v:shape id="control_shape_10" o:allowincell="t" style="width:88.1pt;height:15.4pt" type="#_x0000_t75"/>
          <w:control r:id="rId14" w:name="Champ de motif 1" w:shapeid="control_shape_10"/>
        </w:object>
      </w:r>
      <w:r>
        <w:rPr>
          <w:rFonts w:cs="Arial"/>
          <w:sz w:val="24"/>
          <w:szCs w:val="24"/>
        </w:rPr>
        <w:t xml:space="preserve"> </w:t>
      </w:r>
      <w:r>
        <w:rPr>
          <w:rFonts w:cs="Arial"/>
          <w:b/>
          <w:bCs/>
          <w:sz w:val="24"/>
          <w:szCs w:val="24"/>
        </w:rPr>
        <w:t>après travaux</w:t>
      </w:r>
      <w:r>
        <w:rPr>
          <w:rFonts w:cs="Arial"/>
          <w:sz w:val="24"/>
          <w:szCs w:val="24"/>
        </w:rPr>
        <w:t xml:space="preserve"> : </w:t>
      </w:r>
      <w:r>
        <w:rPr/>
        <w:object>
          <v:shape id="control_shape_11" o:allowincell="t" style="width:112.2pt;height:14.75pt" type="#_x0000_t75"/>
          <w:control r:id="rId15" w:name="Champ de motif 1" w:shapeid="control_shape_11"/>
        </w:object>
      </w:r>
    </w:p>
    <w:p>
      <w:pPr>
        <w:pStyle w:val="Normal"/>
        <w:pBdr>
          <w:top w:val="single" w:sz="4" w:space="1" w:color="000001"/>
          <w:left w:val="single" w:sz="4" w:space="4" w:color="000001"/>
          <w:bottom w:val="single" w:sz="4" w:space="1" w:color="000001"/>
          <w:right w:val="single" w:sz="4" w:space="4" w:color="000001"/>
        </w:pBdr>
        <w:tabs>
          <w:tab w:val="clear" w:pos="709"/>
          <w:tab w:val="right" w:pos="6379" w:leader="dot"/>
          <w:tab w:val="right" w:pos="8931" w:leader="dot"/>
        </w:tabs>
        <w:ind w:right="567" w:hanging="0"/>
        <w:jc w:val="both"/>
        <w:rPr>
          <w:rFonts w:cs="Arial"/>
          <w:sz w:val="12"/>
          <w:szCs w:val="12"/>
        </w:rPr>
      </w:pPr>
      <w:r>
        <w:rPr>
          <w:rFonts w:cs="Arial"/>
          <w:sz w:val="12"/>
          <w:szCs w:val="12"/>
        </w:rPr>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pPr>
      <w:r>
        <w:rPr>
          <w:rFonts w:cs="Arial"/>
          <w:b/>
          <w:bCs/>
          <w:sz w:val="24"/>
          <w:szCs w:val="24"/>
        </w:rPr>
        <w:t>IDENTITÉ</w:t>
      </w:r>
      <w:r>
        <w:rPr>
          <w:rFonts w:cs="Arial"/>
          <w:sz w:val="24"/>
          <w:szCs w:val="24"/>
        </w:rPr>
        <w:t xml:space="preserve"> du futur exploitant : </w:t>
      </w:r>
      <w:r>
        <w:rPr/>
        <w:object>
          <v:shape id="control_shape_12" o:allowincell="t" style="width:273.3pt;height:18.25pt" type="#_x0000_t75"/>
          <w:control r:id="rId16" w:name="Champ de motif 1" w:shapeid="control_shape_12"/>
        </w:object>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sz w:val="12"/>
          <w:szCs w:val="12"/>
        </w:rPr>
      </w:pPr>
      <w:r>
        <w:rPr>
          <w:sz w:val="12"/>
          <w:szCs w:val="12"/>
        </w:rPr>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pPr>
      <w:r>
        <w:rPr>
          <w:rFonts w:cs="Arial"/>
          <w:sz w:val="24"/>
          <w:szCs w:val="24"/>
        </w:rPr>
        <w:t xml:space="preserve">Profession libérale :  </w:t>
      </w:r>
      <w:r>
        <w:rPr/>
        <w:object>
          <v:shape id="control_shape_13" o:allowincell="t" style="width:59.4pt;height:18.2pt" type="#_x0000_t75"/>
          <w:control r:id="rId17" w:name="PROF-LIB" w:shapeid="control_shape_13"/>
        </w:object>
      </w:r>
      <w:r>
        <w:rPr/>
        <w:object>
          <v:shape id="control_shape_14" o:allowincell="t" style="width:51.6pt;height:17.95pt" type="#_x0000_t75"/>
          <w:control r:id="rId18" w:name="PROF-LIB" w:shapeid="control_shape_14"/>
        </w:object>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pPr>
      <w:r>
        <w:rPr>
          <w:rFonts w:cs="Arial"/>
          <w:b/>
          <w:bCs/>
          <w:color w:val="000000"/>
          <w:sz w:val="16"/>
          <w:szCs w:val="16"/>
        </w:rPr>
        <w:t xml:space="preserve"> </w:t>
      </w:r>
    </w:p>
    <w:p>
      <w:pPr>
        <w:pStyle w:val="Normal"/>
        <w:pBdr>
          <w:top w:val="single" w:sz="4" w:space="1" w:color="000001"/>
          <w:left w:val="single" w:sz="4" w:space="4" w:color="000001"/>
          <w:bottom w:val="single" w:sz="4" w:space="1" w:color="000001"/>
          <w:right w:val="single" w:sz="4" w:space="4" w:color="000001"/>
        </w:pBdr>
        <w:tabs>
          <w:tab w:val="clear" w:pos="709"/>
          <w:tab w:val="right" w:pos="9356" w:leader="dot"/>
        </w:tabs>
        <w:ind w:right="567" w:hanging="0"/>
        <w:jc w:val="both"/>
        <w:rPr/>
      </w:pPr>
      <w:r>
        <w:rPr>
          <w:rFonts w:cs="Arial"/>
          <w:b/>
          <w:bCs/>
          <w:sz w:val="24"/>
          <w:szCs w:val="24"/>
        </w:rPr>
        <w:t>TYPE(S) et CATÉGORIE</w:t>
      </w:r>
      <w:r>
        <w:rPr>
          <w:rFonts w:cs="Arial"/>
          <w:sz w:val="24"/>
          <w:szCs w:val="24"/>
        </w:rPr>
        <w:t xml:space="preserve"> de l'établissement (R143-19 du CCH – voir fiche sécurité)</w:t>
      </w:r>
    </w:p>
    <w:p>
      <w:pPr>
        <w:pStyle w:val="Normal"/>
        <w:pBdr>
          <w:top w:val="single" w:sz="4" w:space="1" w:color="000001"/>
          <w:left w:val="single" w:sz="4" w:space="4" w:color="000001"/>
          <w:bottom w:val="single" w:sz="4" w:space="1" w:color="000001"/>
          <w:right w:val="single" w:sz="4" w:space="4" w:color="000001"/>
        </w:pBdr>
        <w:tabs>
          <w:tab w:val="clear" w:pos="709"/>
          <w:tab w:val="right" w:pos="9356" w:leader="dot"/>
        </w:tabs>
        <w:ind w:right="567" w:hanging="0"/>
        <w:jc w:val="both"/>
        <w:rPr>
          <w:rFonts w:cs="Arial"/>
          <w:sz w:val="16"/>
          <w:szCs w:val="16"/>
        </w:rPr>
      </w:pPr>
      <w:r>
        <w:rPr>
          <w:rFonts w:cs="Arial"/>
          <w:sz w:val="16"/>
          <w:szCs w:val="16"/>
        </w:rPr>
      </w:r>
    </w:p>
    <w:p>
      <w:pPr>
        <w:pStyle w:val="Normal"/>
        <w:pBdr>
          <w:top w:val="single" w:sz="4" w:space="1" w:color="000001"/>
          <w:left w:val="single" w:sz="4" w:space="4" w:color="000001"/>
          <w:bottom w:val="single" w:sz="4" w:space="1" w:color="000001"/>
          <w:right w:val="single" w:sz="4" w:space="4" w:color="000001"/>
        </w:pBdr>
        <w:tabs>
          <w:tab w:val="clear" w:pos="709"/>
          <w:tab w:val="left" w:pos="2268" w:leader="dot"/>
          <w:tab w:val="right" w:pos="4962" w:leader="dot"/>
        </w:tabs>
        <w:ind w:right="567" w:hanging="0"/>
        <w:jc w:val="both"/>
        <w:rPr/>
      </w:pPr>
      <w:r>
        <w:rPr>
          <w:rFonts w:cs="Arial"/>
          <w:sz w:val="24"/>
          <w:szCs w:val="24"/>
        </w:rPr>
        <w:t xml:space="preserve">TYPE :  </w:t>
      </w:r>
      <w:r>
        <w:rPr/>
        <w:object>
          <v:shape id="control_shape_15" o:allowincell="t" style="width:62pt;height:17.9pt" type="#_x0000_t75"/>
          <w:control r:id="rId19" w:name="Champ de motif 3" w:shapeid="control_shape_15"/>
        </w:object>
      </w:r>
      <w:r>
        <w:rPr>
          <w:rFonts w:cs="Arial"/>
          <w:sz w:val="24"/>
          <w:szCs w:val="24"/>
        </w:rPr>
        <w:t xml:space="preserve">         CATÉGORIE : </w:t>
      </w:r>
      <w:r>
        <w:rPr/>
        <w:object>
          <v:shape id="control_shape_16" o:allowincell="t" style="width:73.85pt;height:17.9pt" type="#_x0000_t75"/>
          <w:control r:id="rId20" w:name="Champ de motif 1" w:shapeid="control_shape_16"/>
        </w:object>
      </w:r>
    </w:p>
    <w:p>
      <w:pPr>
        <w:pStyle w:val="Normal"/>
        <w:pBdr>
          <w:top w:val="single" w:sz="4" w:space="1" w:color="000001"/>
          <w:left w:val="single" w:sz="4" w:space="4" w:color="000001"/>
          <w:bottom w:val="single" w:sz="4" w:space="1" w:color="000001"/>
          <w:right w:val="single" w:sz="4" w:space="4" w:color="000001"/>
        </w:pBdr>
        <w:tabs>
          <w:tab w:val="clear" w:pos="709"/>
          <w:tab w:val="left" w:pos="2268" w:leader="dot"/>
          <w:tab w:val="right" w:pos="4962" w:leader="dot"/>
        </w:tabs>
        <w:ind w:right="567" w:hanging="0"/>
        <w:jc w:val="both"/>
        <w:rPr>
          <w:rFonts w:cs="Arial"/>
          <w:sz w:val="12"/>
          <w:szCs w:val="12"/>
        </w:rPr>
      </w:pPr>
      <w:r>
        <w:rPr>
          <w:rFonts w:cs="Arial"/>
          <w:sz w:val="12"/>
          <w:szCs w:val="12"/>
        </w:rPr>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pPr>
      <w:r>
        <w:rPr>
          <w:rFonts w:cs="Arial"/>
          <w:b/>
          <w:bCs/>
          <w:sz w:val="24"/>
          <w:szCs w:val="24"/>
        </w:rPr>
        <w:t>ADRESSE</w:t>
      </w:r>
      <w:r>
        <w:rPr>
          <w:rFonts w:cs="Arial"/>
          <w:sz w:val="24"/>
          <w:szCs w:val="24"/>
        </w:rPr>
        <w:t xml:space="preserve"> : </w:t>
      </w:r>
      <w:r>
        <w:rPr/>
        <w:object>
          <v:shape id="control_shape_17" o:allowincell="t" style="width:367.35pt;height:16.05pt" type="#_x0000_t75"/>
          <w:control r:id="rId21" w:name="Champ de motif 1" w:shapeid="control_shape_17"/>
        </w:object>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rFonts w:cs="Arial"/>
          <w:sz w:val="12"/>
          <w:szCs w:val="12"/>
        </w:rPr>
      </w:pPr>
      <w:r>
        <w:rPr>
          <w:rFonts w:cs="Arial"/>
          <w:sz w:val="12"/>
          <w:szCs w:val="12"/>
        </w:rPr>
      </w:r>
    </w:p>
    <w:p>
      <w:pPr>
        <w:pStyle w:val="Normal"/>
        <w:pBdr>
          <w:top w:val="single" w:sz="4" w:space="1" w:color="000001"/>
          <w:left w:val="single" w:sz="4" w:space="4" w:color="000001"/>
          <w:bottom w:val="single" w:sz="4" w:space="1" w:color="000001"/>
          <w:right w:val="single" w:sz="4" w:space="4" w:color="000001"/>
        </w:pBdr>
        <w:tabs>
          <w:tab w:val="clear" w:pos="709"/>
          <w:tab w:val="left" w:pos="3805" w:leader="none"/>
          <w:tab w:val="right" w:pos="8929" w:leader="dot"/>
        </w:tabs>
        <w:ind w:right="567" w:hanging="0"/>
        <w:jc w:val="both"/>
        <w:rPr/>
      </w:pPr>
      <w:r>
        <w:rPr>
          <w:rFonts w:cs="Arial"/>
          <w:sz w:val="24"/>
          <w:szCs w:val="24"/>
        </w:rPr>
        <w:t xml:space="preserve">Code postal :  </w:t>
        <w:tab/>
        <w:t xml:space="preserve">Commune : </w:t>
      </w:r>
      <w:r>
        <w:rPr/>
        <w:pict>
          <v:shape id="control_shape_18" o:allowincell="f" style="position:absolute;margin-left:78.95pt;margin-top:1.65pt;width:91.85pt;height:18.95pt" type="#_x0000_t201">
            <w10:wrap type="none"/>
          </v:shape>
          <w:control r:id="rId22" w:name="Champ formaté 1" w:shapeid="control_shape_18"/>
        </w:pict>
        <w:object>
          <v:shape id="control_shape_19" o:allowincell="t" style="width:185.2pt;height:21.65pt" type="#_x0000_t75"/>
          <w:control r:id="rId23" w:name="Champ de motif 1" w:shapeid="control_shape_19"/>
        </w:object>
      </w:r>
    </w:p>
    <w:p>
      <w:pPr>
        <w:pStyle w:val="Normal"/>
        <w:pBdr>
          <w:top w:val="single" w:sz="4" w:space="1" w:color="000001"/>
          <w:left w:val="single" w:sz="4" w:space="4" w:color="000001"/>
          <w:bottom w:val="single" w:sz="4" w:space="1" w:color="000001"/>
          <w:right w:val="single" w:sz="4" w:space="4" w:color="000001"/>
        </w:pBdr>
        <w:tabs>
          <w:tab w:val="clear" w:pos="709"/>
          <w:tab w:val="left" w:pos="4536" w:leader="none"/>
          <w:tab w:val="right" w:pos="8931" w:leader="dot"/>
        </w:tabs>
        <w:ind w:right="567" w:hanging="0"/>
        <w:jc w:val="both"/>
        <w:rPr>
          <w:rFonts w:cs="Arial"/>
          <w:sz w:val="12"/>
          <w:szCs w:val="12"/>
        </w:rPr>
      </w:pPr>
      <w:r>
        <w:rPr>
          <w:rFonts w:cs="Arial"/>
          <w:sz w:val="12"/>
          <w:szCs w:val="12"/>
        </w:rPr>
      </w:r>
    </w:p>
    <w:p>
      <w:pPr>
        <w:pStyle w:val="Normal"/>
        <w:jc w:val="both"/>
        <w:rPr>
          <w:rFonts w:cs="Arial"/>
          <w:b/>
          <w:bCs/>
          <w:color w:val="000000"/>
          <w:sz w:val="12"/>
          <w:szCs w:val="12"/>
        </w:rPr>
      </w:pPr>
      <w:r>
        <w:rPr>
          <w:rFonts w:cs="Arial"/>
          <w:b/>
          <w:bCs/>
          <w:color w:val="000000"/>
          <w:sz w:val="12"/>
          <w:szCs w:val="12"/>
        </w:rPr>
      </w:r>
    </w:p>
    <w:p>
      <w:pPr>
        <w:pStyle w:val="Normal"/>
        <w:pBdr>
          <w:top w:val="single" w:sz="4" w:space="1" w:color="000001"/>
          <w:left w:val="single" w:sz="4" w:space="4" w:color="000001"/>
          <w:bottom w:val="single" w:sz="4" w:space="1" w:color="000001"/>
          <w:right w:val="single" w:sz="4" w:space="4" w:color="000001"/>
        </w:pBdr>
        <w:tabs>
          <w:tab w:val="clear" w:pos="709"/>
          <w:tab w:val="right" w:pos="5670" w:leader="none"/>
        </w:tabs>
        <w:ind w:right="567" w:hanging="0"/>
        <w:jc w:val="both"/>
        <w:rPr/>
      </w:pPr>
      <w:r>
        <w:rPr>
          <w:rFonts w:cs="Arial"/>
          <w:b/>
          <w:bCs/>
          <w:sz w:val="24"/>
          <w:szCs w:val="24"/>
        </w:rPr>
        <w:t xml:space="preserve">Demande de permis de construire en cours : </w:t>
        <w:tab/>
        <w:tab/>
        <w:t xml:space="preserve"> </w:t>
      </w:r>
      <w:r>
        <w:rPr/>
        <w:object>
          <v:shape id="control_shape_20" o:allowincell="t" style="width:59.4pt;height:18.2pt" type="#_x0000_t75"/>
          <w:control r:id="rId24" w:name="PC" w:shapeid="control_shape_20"/>
        </w:object>
      </w:r>
      <w:r>
        <w:rPr/>
        <w:object>
          <v:shape id="control_shape_21" o:allowincell="t" style="width:51.6pt;height:17.95pt" type="#_x0000_t75"/>
          <w:control r:id="rId25" w:name="PC" w:shapeid="control_shape_21"/>
        </w:object>
      </w:r>
    </w:p>
    <w:p>
      <w:pPr>
        <w:pStyle w:val="Normal"/>
        <w:ind w:right="567" w:hanging="0"/>
        <w:jc w:val="both"/>
        <w:rPr>
          <w:rFonts w:cs="Arial"/>
          <w:b/>
          <w:bCs/>
          <w:sz w:val="12"/>
          <w:szCs w:val="12"/>
        </w:rPr>
      </w:pPr>
      <w:r>
        <w:rPr>
          <w:rFonts w:cs="Arial"/>
          <w:b/>
          <w:bCs/>
          <w:sz w:val="12"/>
          <w:szCs w:val="12"/>
        </w:rPr>
      </w:r>
    </w:p>
    <w:p>
      <w:pPr>
        <w:pStyle w:val="Normal"/>
        <w:numPr>
          <w:ilvl w:val="0"/>
          <w:numId w:val="46"/>
        </w:numPr>
        <w:ind w:left="0" w:right="567" w:hanging="0"/>
        <w:jc w:val="both"/>
        <w:rPr/>
      </w:pPr>
      <w:r>
        <w:rPr>
          <w:rFonts w:cs="Arial"/>
          <w:b/>
          <w:bCs/>
          <w:sz w:val="28"/>
          <w:szCs w:val="28"/>
        </w:rPr>
        <w:t>Désignation des acteurs</w:t>
      </w:r>
    </w:p>
    <w:p>
      <w:pPr>
        <w:pStyle w:val="Normal"/>
        <w:ind w:right="991" w:hanging="0"/>
        <w:jc w:val="both"/>
        <w:rPr>
          <w:rFonts w:cs="Arial"/>
          <w:b/>
          <w:bCs/>
          <w:sz w:val="12"/>
          <w:szCs w:val="12"/>
        </w:rPr>
      </w:pPr>
      <w:r>
        <w:rPr>
          <w:rFonts w:cs="Arial"/>
          <w:b/>
          <w:bCs/>
          <w:sz w:val="12"/>
          <w:szCs w:val="12"/>
        </w:rPr>
      </w:r>
    </w:p>
    <w:p>
      <w:pPr>
        <w:pStyle w:val="Normal"/>
        <w:pBdr>
          <w:top w:val="single" w:sz="4" w:space="1" w:color="000001"/>
          <w:left w:val="single" w:sz="4" w:space="4" w:color="000001"/>
          <w:bottom w:val="single" w:sz="4" w:space="1" w:color="000001"/>
          <w:right w:val="single" w:sz="4" w:space="4" w:color="000001"/>
        </w:pBdr>
        <w:ind w:right="527" w:hanging="0"/>
        <w:jc w:val="both"/>
        <w:rPr>
          <w:rFonts w:cs="Arial"/>
          <w:b/>
          <w:bCs/>
          <w:color w:val="000000"/>
          <w:sz w:val="16"/>
          <w:szCs w:val="16"/>
        </w:rPr>
      </w:pPr>
      <w:r>
        <w:rPr>
          <w:rFonts w:cs="Arial"/>
          <w:b/>
          <w:bCs/>
          <w:color w:val="000000"/>
          <w:sz w:val="16"/>
          <w:szCs w:val="16"/>
        </w:rPr>
      </w:r>
    </w:p>
    <w:p>
      <w:pPr>
        <w:pStyle w:val="Normal"/>
        <w:pBdr>
          <w:top w:val="single" w:sz="4" w:space="1" w:color="000001"/>
          <w:left w:val="single" w:sz="4" w:space="4" w:color="000001"/>
          <w:bottom w:val="single" w:sz="4" w:space="1" w:color="000001"/>
          <w:right w:val="single" w:sz="4" w:space="4" w:color="000001"/>
        </w:pBdr>
        <w:ind w:right="527" w:hanging="0"/>
        <w:jc w:val="both"/>
        <w:rPr/>
      </w:pPr>
      <w:r>
        <w:rPr>
          <w:rFonts w:cs="Arial"/>
          <w:b/>
          <w:bCs/>
          <w:color w:val="000000"/>
          <w:sz w:val="24"/>
          <w:szCs w:val="24"/>
        </w:rPr>
        <w:t xml:space="preserve">Maître d'Ouvrage: </w:t>
      </w:r>
      <w:r>
        <w:rPr/>
        <w:object>
          <v:shape id="control_shape_22" o:allowincell="t" style="width:335.2pt;height:17.1pt" type="#_x0000_t75"/>
          <w:control r:id="rId26" w:name="Champ de motif 1" w:shapeid="control_shape_22"/>
        </w:object>
      </w:r>
    </w:p>
    <w:p>
      <w:pPr>
        <w:pStyle w:val="Normal"/>
        <w:pBdr>
          <w:top w:val="single" w:sz="4" w:space="1" w:color="000001"/>
          <w:left w:val="single" w:sz="4" w:space="4" w:color="000001"/>
          <w:bottom w:val="single" w:sz="4" w:space="1" w:color="000001"/>
          <w:right w:val="single" w:sz="4" w:space="4" w:color="000001"/>
        </w:pBdr>
        <w:ind w:right="527" w:hanging="0"/>
        <w:jc w:val="both"/>
        <w:rPr/>
      </w:pPr>
      <w:r>
        <w:rPr>
          <w:rFonts w:cs="Arial"/>
          <w:color w:val="000000"/>
          <w:sz w:val="16"/>
          <w:szCs w:val="16"/>
        </w:rPr>
        <w:tab/>
        <w:tab/>
        <w:tab/>
        <w:tab/>
        <w:tab/>
      </w:r>
    </w:p>
    <w:p>
      <w:pPr>
        <w:pStyle w:val="Normal"/>
        <w:pBdr>
          <w:top w:val="single" w:sz="4" w:space="1" w:color="000001"/>
          <w:left w:val="single" w:sz="4" w:space="4" w:color="000001"/>
          <w:bottom w:val="single" w:sz="4" w:space="1" w:color="000001"/>
          <w:right w:val="single" w:sz="4" w:space="4" w:color="000001"/>
        </w:pBdr>
        <w:ind w:right="527" w:hanging="0"/>
        <w:jc w:val="both"/>
        <w:rPr/>
      </w:pPr>
      <w:r>
        <w:rPr>
          <w:rFonts w:cs="Arial"/>
          <w:b/>
          <w:bCs/>
          <w:color w:val="000000"/>
          <w:sz w:val="24"/>
          <w:szCs w:val="24"/>
        </w:rPr>
        <w:t xml:space="preserve">Maître d'Œuvre: </w:t>
      </w:r>
      <w:r>
        <w:rPr/>
        <w:object>
          <v:shape id="control_shape_23" o:allowincell="t" style="width:349.3pt;height:16.55pt" type="#_x0000_t75"/>
          <w:control r:id="rId27" w:name="Champ de motif 1" w:shapeid="control_shape_23"/>
        </w:object>
      </w:r>
    </w:p>
    <w:p>
      <w:pPr>
        <w:pStyle w:val="Normal"/>
        <w:pBdr>
          <w:top w:val="single" w:sz="4" w:space="1" w:color="000001"/>
          <w:left w:val="single" w:sz="4" w:space="4" w:color="000001"/>
          <w:bottom w:val="single" w:sz="4" w:space="1" w:color="000001"/>
          <w:right w:val="single" w:sz="4" w:space="4" w:color="000001"/>
        </w:pBdr>
        <w:ind w:right="527" w:hanging="0"/>
        <w:jc w:val="both"/>
        <w:rPr/>
      </w:pPr>
      <w:r>
        <w:rPr>
          <w:rFonts w:cs="Arial"/>
          <w:b/>
          <w:bCs/>
          <w:color w:val="000000"/>
          <w:sz w:val="20"/>
          <w:szCs w:val="20"/>
        </w:rPr>
        <w:t xml:space="preserve">Si celui-ci est connu, bureau de contrôle ou architecte à qui est confié l'établissement de l'attestation de prise en compte des règles d'accessibilité: </w:t>
      </w:r>
      <w:r>
        <w:rPr>
          <w:rFonts w:cs="Arial"/>
          <w:color w:val="000000"/>
          <w:sz w:val="16"/>
          <w:szCs w:val="16"/>
        </w:rPr>
        <w:tab/>
      </w:r>
    </w:p>
    <w:p>
      <w:pPr>
        <w:pStyle w:val="Normal"/>
        <w:pBdr>
          <w:top w:val="single" w:sz="4" w:space="1" w:color="000001"/>
          <w:left w:val="single" w:sz="4" w:space="4" w:color="000001"/>
          <w:bottom w:val="single" w:sz="4" w:space="1" w:color="000001"/>
          <w:right w:val="single" w:sz="4" w:space="4" w:color="000001"/>
        </w:pBdr>
        <w:ind w:right="527" w:hanging="0"/>
        <w:jc w:val="both"/>
        <w:rPr/>
      </w:pPr>
      <w:r>
        <w:rPr>
          <w:rFonts w:cs="Arial"/>
          <w:color w:val="000000"/>
          <w:sz w:val="16"/>
          <w:szCs w:val="16"/>
        </w:rPr>
        <w:tab/>
      </w:r>
      <w:r>
        <w:rPr/>
        <w:object>
          <v:shape id="control_shape_24" o:allowincell="t" style="width:442.85pt;height:17.45pt" type="#_x0000_t75"/>
          <w:control r:id="rId28" w:name="Champ de motif 2" w:shapeid="control_shape_24"/>
        </w:object>
      </w:r>
    </w:p>
    <w:p>
      <w:pPr>
        <w:pStyle w:val="Normal"/>
        <w:pBdr>
          <w:top w:val="single" w:sz="4" w:space="1" w:color="000001"/>
          <w:left w:val="single" w:sz="4" w:space="4" w:color="000001"/>
          <w:bottom w:val="single" w:sz="4" w:space="1" w:color="000001"/>
          <w:right w:val="single" w:sz="4" w:space="4" w:color="000001"/>
        </w:pBdr>
        <w:ind w:right="527" w:hanging="0"/>
        <w:jc w:val="both"/>
        <w:rPr>
          <w:rFonts w:cs="Arial"/>
          <w:color w:val="000000"/>
          <w:sz w:val="16"/>
          <w:szCs w:val="16"/>
        </w:rPr>
      </w:pPr>
      <w:r>
        <w:rPr>
          <w:rFonts w:cs="Arial"/>
          <w:color w:val="000000"/>
          <w:sz w:val="16"/>
          <w:szCs w:val="16"/>
        </w:rPr>
      </w:r>
    </w:p>
    <w:p>
      <w:pPr>
        <w:pStyle w:val="Normal"/>
        <w:pBdr>
          <w:top w:val="single" w:sz="4" w:space="1" w:color="000001"/>
          <w:left w:val="single" w:sz="4" w:space="4" w:color="000001"/>
          <w:bottom w:val="single" w:sz="4" w:space="1" w:color="000001"/>
          <w:right w:val="single" w:sz="4" w:space="4" w:color="000001"/>
        </w:pBdr>
        <w:ind w:right="527" w:hanging="0"/>
        <w:jc w:val="left"/>
        <w:rPr>
          <w:rFonts w:cs="Arial"/>
          <w:color w:val="000000"/>
          <w:sz w:val="16"/>
          <w:szCs w:val="16"/>
        </w:rPr>
      </w:pPr>
      <w:r>
        <w:rPr>
          <w:rFonts w:cs="Arial"/>
          <w:b/>
          <w:bCs/>
          <w:color w:val="000000"/>
          <w:sz w:val="24"/>
          <w:szCs w:val="24"/>
        </w:rPr>
        <w:t>NOM DE L'INTERVENANT</w:t>
      </w:r>
      <w:r>
        <w:rPr>
          <w:rFonts w:cs="Arial"/>
          <w:b/>
          <w:bCs/>
          <w:color w:val="000000"/>
          <w:sz w:val="16"/>
          <w:szCs w:val="16"/>
        </w:rPr>
        <w:t xml:space="preserve"> </w:t>
      </w:r>
      <w:r>
        <w:rPr>
          <w:rFonts w:cs="Arial" w:ascii="Marianne" w:hAnsi="Marianne"/>
          <w:b/>
          <w:bCs/>
          <w:color w:val="000000"/>
          <w:sz w:val="16"/>
          <w:szCs w:val="16"/>
        </w:rPr>
        <w:t xml:space="preserve">  </w:t>
      </w:r>
      <w:r>
        <w:rPr>
          <w:rFonts w:cs="Arial"/>
          <w:color w:val="000000"/>
          <w:sz w:val="16"/>
          <w:szCs w:val="16"/>
        </w:rPr>
        <w:t xml:space="preserve"> </w:t>
      </w:r>
      <w:r>
        <w:rPr/>
        <w:object>
          <v:shape id="control_shape_25" o:allowincell="t" style="width:287.2pt;height:15.45pt" type="#_x0000_t75"/>
          <w:control r:id="rId29" w:name="Champ de motif 1" w:shapeid="control_shape_25"/>
        </w:object>
      </w:r>
    </w:p>
    <w:p>
      <w:pPr>
        <w:pStyle w:val="Normal"/>
        <w:pBdr>
          <w:top w:val="single" w:sz="4" w:space="1" w:color="000001"/>
          <w:left w:val="single" w:sz="4" w:space="4" w:color="000001"/>
          <w:bottom w:val="single" w:sz="4" w:space="1" w:color="000001"/>
          <w:right w:val="single" w:sz="4" w:space="4" w:color="000001"/>
        </w:pBdr>
        <w:ind w:right="527" w:hanging="0"/>
        <w:jc w:val="both"/>
        <w:rPr>
          <w:sz w:val="12"/>
          <w:szCs w:val="12"/>
        </w:rPr>
      </w:pPr>
      <w:r>
        <w:rPr>
          <w:sz w:val="12"/>
          <w:szCs w:val="12"/>
        </w:rPr>
      </w:r>
      <w:r>
        <w:br w:type="page"/>
      </w:r>
    </w:p>
    <w:p>
      <w:pPr>
        <w:pStyle w:val="Normal"/>
        <w:pBdr>
          <w:top w:val="single" w:sz="4" w:space="1" w:color="000001"/>
          <w:left w:val="single" w:sz="4" w:space="4" w:color="000001"/>
          <w:bottom w:val="single" w:sz="4" w:space="1" w:color="000001"/>
          <w:right w:val="single" w:sz="4" w:space="4" w:color="000001"/>
        </w:pBdr>
        <w:ind w:right="527" w:hanging="0"/>
        <w:jc w:val="both"/>
        <w:rPr/>
      </w:pPr>
      <w:r>
        <w:drawing>
          <wp:anchor behindDoc="0" distT="0" distB="0" distL="0" distR="0" simplePos="0" locked="0" layoutInCell="1" allowOverlap="1" relativeHeight="3">
            <wp:simplePos x="0" y="0"/>
            <wp:positionH relativeFrom="column">
              <wp:posOffset>-837565</wp:posOffset>
            </wp:positionH>
            <wp:positionV relativeFrom="paragraph">
              <wp:posOffset>-8890</wp:posOffset>
            </wp:positionV>
            <wp:extent cx="764540" cy="698500"/>
            <wp:effectExtent l="0" t="0" r="0" b="0"/>
            <wp:wrapNone/>
            <wp:docPr id="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
                    <pic:cNvPicPr>
                      <a:picLocks noChangeAspect="1" noChangeArrowheads="1"/>
                    </pic:cNvPicPr>
                  </pic:nvPicPr>
                  <pic:blipFill>
                    <a:blip r:embed="rId30"/>
                    <a:stretch>
                      <a:fillRect/>
                    </a:stretch>
                  </pic:blipFill>
                  <pic:spPr bwMode="auto">
                    <a:xfrm>
                      <a:off x="0" y="0"/>
                      <a:ext cx="764540" cy="698500"/>
                    </a:xfrm>
                    <a:prstGeom prst="rect">
                      <a:avLst/>
                    </a:prstGeom>
                  </pic:spPr>
                </pic:pic>
              </a:graphicData>
            </a:graphic>
          </wp:anchor>
        </w:drawing>
      </w:r>
      <w:r>
        <w:rPr>
          <w:rFonts w:cs="Arial"/>
          <w:b/>
          <w:bCs/>
          <w:sz w:val="28"/>
          <w:szCs w:val="28"/>
        </w:rPr>
        <w:t xml:space="preserve">L’attention du maître d’ouvrage et du maître d’œuvre est attirée par le fait que la liste suivante est non exhaustive, non limitative et </w:t>
      </w:r>
      <w:r>
        <w:rPr>
          <w:rFonts w:cs="Arial"/>
          <w:b/>
          <w:bCs/>
          <w:sz w:val="28"/>
          <w:szCs w:val="28"/>
          <w:u w:val="single"/>
        </w:rPr>
        <w:t>à adapter à chaque projet</w:t>
      </w:r>
      <w:r>
        <w:rPr>
          <w:rFonts w:cs="Arial"/>
          <w:b/>
          <w:bCs/>
          <w:sz w:val="28"/>
          <w:szCs w:val="28"/>
        </w:rPr>
        <w:t>.</w:t>
      </w:r>
    </w:p>
    <w:p>
      <w:pPr>
        <w:pStyle w:val="NormalWeb"/>
        <w:spacing w:before="0" w:after="0"/>
        <w:rPr/>
      </w:pPr>
      <w:r>
        <w:rPr/>
      </w:r>
    </w:p>
    <w:p>
      <w:pPr>
        <w:pStyle w:val="NormalWeb"/>
        <w:spacing w:before="0" w:after="0"/>
        <w:rPr/>
      </w:pPr>
      <w:r>
        <w:rPr>
          <w:rStyle w:val="Strong"/>
          <w:rFonts w:eastAsia="Times New Roman"/>
          <w:b/>
          <w:i/>
          <w:iCs/>
          <w:sz w:val="22"/>
        </w:rPr>
        <w:t>Arrêté du 20 décembre 2014 fixant les dispositions prises pour l'application des articles R. 111-19 à R. 111-19-3 et R. 111-19-6 du code de la construction et de l'habitation, relatives à l'accessibilité aux personnes handicapées des établissements recevant du public et des installations ouvertes au public lors de leur construction ou de leur création</w:t>
      </w:r>
      <w:r>
        <w:rPr>
          <w:rFonts w:eastAsia="Times New Roman"/>
          <w:i/>
          <w:iCs/>
          <w:sz w:val="22"/>
        </w:rPr>
        <w:t xml:space="preserve"> </w:t>
      </w:r>
    </w:p>
    <w:p>
      <w:pPr>
        <w:pStyle w:val="NormalWeb"/>
        <w:spacing w:before="0" w:after="0"/>
        <w:rPr/>
      </w:pPr>
      <w:r>
        <w:rPr>
          <w:rStyle w:val="Strong"/>
          <w:rFonts w:eastAsia="Times New Roman"/>
          <w:b/>
          <w:i/>
          <w:iCs/>
          <w:sz w:val="22"/>
        </w:rPr>
        <w:t>Arrêté du 8 décembre 2014 fixant les dispositions prises pour l'application des articles R. 111-19-7 à R. 111-19-11 du code de la construction et de l'habitation et de l'article 14 du décret n° 2006-555 relatives à l'accessibilité aux personnes handicapées des établissements recevant du public situés dans un cadre bâti existant et des installations existantes ouvertes au public</w:t>
      </w:r>
      <w:r>
        <w:rPr>
          <w:rFonts w:eastAsia="Times New Roman"/>
          <w:i/>
          <w:iCs/>
          <w:sz w:val="22"/>
        </w:rPr>
        <w:t xml:space="preserve"> </w:t>
      </w:r>
    </w:p>
    <w:p>
      <w:pPr>
        <w:pStyle w:val="NormalWeb"/>
        <w:spacing w:before="0" w:after="0"/>
        <w:rPr/>
      </w:pPr>
      <w:r>
        <w:rPr/>
      </w:r>
    </w:p>
    <w:p>
      <w:pPr>
        <w:pStyle w:val="NormalWeb"/>
        <w:spacing w:before="0" w:after="0"/>
        <w:jc w:val="center"/>
        <w:rPr>
          <w:rFonts w:ascii="Arial" w:hAnsi="Arial"/>
          <w:b/>
          <w:bCs/>
          <w:color w:val="2A6099"/>
          <w:sz w:val="32"/>
          <w:szCs w:val="32"/>
        </w:rPr>
      </w:pPr>
      <w:r>
        <w:rPr>
          <w:rFonts w:ascii="Arial" w:hAnsi="Arial"/>
          <w:b/>
          <w:bCs/>
          <w:color w:val="2A6099"/>
          <w:sz w:val="32"/>
          <w:szCs w:val="32"/>
        </w:rPr>
        <w:t xml:space="preserve">PRINCIPALES DISPOSITIONS TECHNIQUES CONCERNANT </w:t>
      </w:r>
      <w:r>
        <w:rPr>
          <w:rFonts w:eastAsia="Arial Unicode MS" w:cs="Arial Unicode MS" w:ascii="Arial" w:hAnsi="Arial"/>
          <w:b/>
          <w:bCs/>
          <w:color w:val="2A6099"/>
          <w:kern w:val="0"/>
          <w:sz w:val="32"/>
          <w:szCs w:val="32"/>
          <w:lang w:val="fr-FR" w:eastAsia="zh-CN" w:bidi="ar-SA"/>
        </w:rPr>
        <w:t xml:space="preserve">LE PRÉSENT </w:t>
      </w:r>
      <w:r>
        <w:rPr>
          <w:rFonts w:ascii="Arial" w:hAnsi="Arial"/>
          <w:b/>
          <w:bCs/>
          <w:color w:val="2A6099"/>
          <w:sz w:val="32"/>
          <w:szCs w:val="32"/>
        </w:rPr>
        <w:t>PROJET</w:t>
      </w:r>
    </w:p>
    <w:p>
      <w:pPr>
        <w:pStyle w:val="NormalWeb"/>
        <w:spacing w:before="0" w:after="0"/>
        <w:rPr/>
      </w:pPr>
      <w:r>
        <w:rPr/>
      </w:r>
    </w:p>
    <w:p>
      <w:pPr>
        <w:pStyle w:val="NormalWeb"/>
        <w:spacing w:before="0" w:after="0"/>
        <w:rPr/>
      </w:pPr>
      <w:r>
        <w:rPr>
          <w:rFonts w:eastAsia="Times New Roman" w:ascii="Arial" w:hAnsi="Arial"/>
          <w:b/>
          <w:bCs/>
          <w:sz w:val="32"/>
          <w:szCs w:val="22"/>
        </w:rPr>
        <w:t>Détails à prendre en compte dans la notice:</w:t>
      </w:r>
      <w:r>
        <w:rPr>
          <w:rFonts w:eastAsia="Times New Roman"/>
          <w:sz w:val="36"/>
        </w:rPr>
        <w:br/>
      </w:r>
    </w:p>
    <w:p>
      <w:pPr>
        <w:pStyle w:val="Normal"/>
        <w:numPr>
          <w:ilvl w:val="2"/>
          <w:numId w:val="15"/>
        </w:numPr>
        <w:tabs>
          <w:tab w:val="clear" w:pos="709"/>
          <w:tab w:val="left" w:pos="464" w:leader="none"/>
          <w:tab w:val="left" w:pos="824" w:leader="none"/>
        </w:tabs>
        <w:overflowPunct w:val="true"/>
        <w:ind w:left="464" w:right="567" w:hanging="0"/>
        <w:jc w:val="both"/>
        <w:textAlignment w:val="auto"/>
        <w:rPr/>
      </w:pPr>
      <w:r>
        <w:rPr>
          <w:rFonts w:cs="Arial"/>
          <w:b/>
          <w:bCs/>
          <w:color w:val="000000"/>
          <w:sz w:val="24"/>
          <w:szCs w:val="24"/>
        </w:rPr>
        <w:t xml:space="preserve">les dimensions des locaux et les caractéristiques des équipements techniques et des dispositifs de commande utilisables par le public </w:t>
      </w:r>
    </w:p>
    <w:p>
      <w:pPr>
        <w:pStyle w:val="Normal"/>
        <w:numPr>
          <w:ilvl w:val="0"/>
          <w:numId w:val="50"/>
        </w:numPr>
        <w:tabs>
          <w:tab w:val="clear" w:pos="709"/>
          <w:tab w:val="left" w:pos="360" w:leader="none"/>
          <w:tab w:val="left" w:pos="720" w:leader="none"/>
        </w:tabs>
        <w:overflowPunct w:val="true"/>
        <w:ind w:left="2138" w:right="567" w:hanging="360"/>
        <w:jc w:val="both"/>
        <w:textAlignment w:val="auto"/>
        <w:rPr/>
      </w:pPr>
      <w:r>
        <w:rPr>
          <w:rFonts w:eastAsia="Times-Roman;Times New Roman" w:cs="Arial"/>
          <w:bCs/>
          <w:iCs/>
          <w:color w:val="000000"/>
          <w:szCs w:val="22"/>
        </w:rPr>
        <w:t>dispositifs de contrôle d’accès, notamment digicodes et visiophones ;</w:t>
      </w:r>
    </w:p>
    <w:p>
      <w:pPr>
        <w:pStyle w:val="Normal"/>
        <w:numPr>
          <w:ilvl w:val="0"/>
          <w:numId w:val="50"/>
        </w:numPr>
        <w:tabs>
          <w:tab w:val="clear" w:pos="709"/>
          <w:tab w:val="left" w:pos="360" w:leader="none"/>
          <w:tab w:val="left" w:pos="720" w:leader="none"/>
        </w:tabs>
        <w:overflowPunct w:val="true"/>
        <w:ind w:left="2138" w:right="567" w:hanging="360"/>
        <w:jc w:val="both"/>
        <w:textAlignment w:val="auto"/>
        <w:rPr/>
      </w:pPr>
      <w:r>
        <w:rPr>
          <w:rFonts w:eastAsia="Times-Roman;Times New Roman" w:cs="Arial"/>
          <w:bCs/>
          <w:iCs/>
          <w:color w:val="000000"/>
          <w:szCs w:val="22"/>
        </w:rPr>
        <w:t>portes automatiques, portillons, tourniquets ;</w:t>
      </w:r>
    </w:p>
    <w:p>
      <w:pPr>
        <w:pStyle w:val="Normal"/>
        <w:numPr>
          <w:ilvl w:val="0"/>
          <w:numId w:val="50"/>
        </w:numPr>
        <w:tabs>
          <w:tab w:val="clear" w:pos="709"/>
          <w:tab w:val="left" w:pos="360" w:leader="none"/>
          <w:tab w:val="left" w:pos="720" w:leader="none"/>
        </w:tabs>
        <w:overflowPunct w:val="true"/>
        <w:ind w:left="2138" w:right="567" w:hanging="360"/>
        <w:jc w:val="both"/>
        <w:textAlignment w:val="auto"/>
        <w:rPr/>
      </w:pPr>
      <w:r>
        <w:rPr>
          <w:rFonts w:eastAsia="Times-Roman;Times New Roman" w:cs="Arial"/>
          <w:bCs/>
          <w:iCs/>
          <w:color w:val="000000"/>
          <w:szCs w:val="22"/>
        </w:rPr>
        <w:t>guichets, banques d’accueil et d’information, caisses de paiement ;</w:t>
      </w:r>
    </w:p>
    <w:p>
      <w:pPr>
        <w:pStyle w:val="Normal"/>
        <w:numPr>
          <w:ilvl w:val="0"/>
          <w:numId w:val="50"/>
        </w:numPr>
        <w:tabs>
          <w:tab w:val="clear" w:pos="709"/>
          <w:tab w:val="left" w:pos="360" w:leader="none"/>
          <w:tab w:val="left" w:pos="720" w:leader="none"/>
        </w:tabs>
        <w:overflowPunct w:val="true"/>
        <w:ind w:left="2138" w:right="567" w:hanging="360"/>
        <w:jc w:val="both"/>
        <w:textAlignment w:val="auto"/>
        <w:rPr/>
      </w:pPr>
      <w:r>
        <w:rPr>
          <w:rFonts w:eastAsia="Times-Roman;Times New Roman" w:cs="Arial"/>
          <w:bCs/>
          <w:iCs/>
          <w:color w:val="000000"/>
          <w:szCs w:val="22"/>
        </w:rPr>
        <w:t>mobilier fixe, notamment tables, comptoirs, sièges, présentoirs, lits, appareils sanitaires isolés, fontaines ;</w:t>
      </w:r>
    </w:p>
    <w:p>
      <w:pPr>
        <w:pStyle w:val="Normal"/>
        <w:numPr>
          <w:ilvl w:val="0"/>
          <w:numId w:val="50"/>
        </w:numPr>
        <w:tabs>
          <w:tab w:val="clear" w:pos="709"/>
          <w:tab w:val="left" w:pos="360" w:leader="none"/>
          <w:tab w:val="left" w:pos="720" w:leader="none"/>
        </w:tabs>
        <w:overflowPunct w:val="true"/>
        <w:ind w:left="2138" w:right="567" w:hanging="360"/>
        <w:jc w:val="both"/>
        <w:textAlignment w:val="auto"/>
        <w:rPr/>
      </w:pPr>
      <w:r>
        <w:rPr>
          <w:rFonts w:eastAsia="Times-Roman;Times New Roman" w:cs="Arial"/>
          <w:bCs/>
          <w:iCs/>
          <w:color w:val="000000"/>
          <w:szCs w:val="22"/>
        </w:rPr>
        <w:t>appareils distributeurs, notamment distributeurs de tickets, de billets, de boissons et denrées ;</w:t>
      </w:r>
    </w:p>
    <w:p>
      <w:pPr>
        <w:pStyle w:val="Normal"/>
        <w:numPr>
          <w:ilvl w:val="0"/>
          <w:numId w:val="50"/>
        </w:numPr>
        <w:tabs>
          <w:tab w:val="clear" w:pos="709"/>
          <w:tab w:val="left" w:pos="360" w:leader="none"/>
          <w:tab w:val="left" w:pos="720" w:leader="none"/>
        </w:tabs>
        <w:overflowPunct w:val="true"/>
        <w:ind w:left="2138" w:right="567" w:hanging="360"/>
        <w:jc w:val="both"/>
        <w:textAlignment w:val="auto"/>
        <w:rPr/>
      </w:pPr>
      <w:r>
        <w:rPr>
          <w:rFonts w:eastAsia="Times-Roman;Times New Roman" w:cs="Arial"/>
          <w:bCs/>
          <w:iCs/>
          <w:color w:val="000000"/>
          <w:szCs w:val="22"/>
        </w:rPr>
        <w:t>dispositifs d’information et de communication divers, notamment signalétique, écrans, panneaux à messages défilants, bornes d’information, dispositifs de sonorisation ;</w:t>
      </w:r>
    </w:p>
    <w:p>
      <w:pPr>
        <w:pStyle w:val="Normal"/>
        <w:numPr>
          <w:ilvl w:val="0"/>
          <w:numId w:val="50"/>
        </w:numPr>
        <w:tabs>
          <w:tab w:val="clear" w:pos="709"/>
          <w:tab w:val="left" w:pos="360" w:leader="none"/>
          <w:tab w:val="left" w:pos="720" w:leader="none"/>
        </w:tabs>
        <w:overflowPunct w:val="true"/>
        <w:ind w:left="2138" w:right="567" w:hanging="360"/>
        <w:jc w:val="both"/>
        <w:textAlignment w:val="auto"/>
        <w:rPr/>
      </w:pPr>
      <w:r>
        <w:rPr>
          <w:rFonts w:eastAsia="Times-Roman;Times New Roman" w:cs="Arial"/>
          <w:bCs/>
          <w:iCs/>
          <w:color w:val="000000"/>
          <w:szCs w:val="22"/>
        </w:rPr>
        <w:t>équipements de mobilité, notamment ascenseurs et appareils élévateurs, escaliers et trottoirs mécaniques ;</w:t>
      </w:r>
    </w:p>
    <w:p>
      <w:pPr>
        <w:pStyle w:val="Normal"/>
        <w:numPr>
          <w:ilvl w:val="0"/>
          <w:numId w:val="50"/>
        </w:numPr>
        <w:tabs>
          <w:tab w:val="clear" w:pos="709"/>
          <w:tab w:val="left" w:pos="360" w:leader="none"/>
          <w:tab w:val="left" w:pos="720" w:leader="none"/>
        </w:tabs>
        <w:overflowPunct w:val="true"/>
        <w:ind w:left="2138" w:right="567" w:hanging="360"/>
        <w:jc w:val="both"/>
        <w:textAlignment w:val="auto"/>
        <w:rPr/>
      </w:pPr>
      <w:r>
        <w:rPr>
          <w:rFonts w:eastAsia="Times-Roman;Times New Roman" w:cs="Arial"/>
          <w:bCs/>
          <w:iCs/>
          <w:color w:val="000000"/>
          <w:szCs w:val="22"/>
        </w:rPr>
        <w:t>équipements et dispositifs de commande destinés au public, notamment dispositifs d’ouverture de portes, interrupteurs, commandes d’arrêt d’urgence, claviers...</w:t>
      </w:r>
    </w:p>
    <w:p>
      <w:pPr>
        <w:pStyle w:val="Normal"/>
        <w:tabs>
          <w:tab w:val="clear" w:pos="709"/>
          <w:tab w:val="left" w:pos="1174" w:leader="none"/>
          <w:tab w:val="left" w:pos="1440" w:leader="none"/>
        </w:tabs>
        <w:ind w:left="720" w:right="136" w:hanging="0"/>
        <w:jc w:val="both"/>
        <w:rPr>
          <w:rFonts w:eastAsia="Times-Roman;Times New Roman" w:cs="Arial"/>
          <w:b/>
          <w:bCs/>
          <w:i/>
          <w:i/>
          <w:iCs/>
          <w:color w:val="000000"/>
          <w:szCs w:val="22"/>
        </w:rPr>
      </w:pPr>
      <w:r>
        <w:rPr>
          <w:rFonts w:eastAsia="Times-Roman;Times New Roman" w:cs="Arial"/>
          <w:b/>
          <w:bCs/>
          <w:i/>
          <w:iCs/>
          <w:color w:val="000000"/>
          <w:szCs w:val="22"/>
        </w:rPr>
      </w:r>
    </w:p>
    <w:p>
      <w:pPr>
        <w:pStyle w:val="Normal"/>
        <w:numPr>
          <w:ilvl w:val="2"/>
          <w:numId w:val="19"/>
        </w:numPr>
        <w:tabs>
          <w:tab w:val="clear" w:pos="709"/>
          <w:tab w:val="left" w:pos="464" w:leader="none"/>
          <w:tab w:val="left" w:pos="824" w:leader="none"/>
        </w:tabs>
        <w:overflowPunct w:val="true"/>
        <w:ind w:left="464" w:right="567" w:hanging="0"/>
        <w:jc w:val="both"/>
        <w:textAlignment w:val="auto"/>
        <w:rPr/>
      </w:pPr>
      <w:r>
        <w:rPr>
          <w:rFonts w:cs="Arial"/>
          <w:b/>
          <w:bCs/>
          <w:color w:val="000000"/>
          <w:sz w:val="24"/>
          <w:szCs w:val="24"/>
        </w:rPr>
        <w:t>la nature et couleur des matériaux et revêtements de sols, murs et plafonds situés sur les cheminements </w:t>
      </w:r>
      <w:r>
        <w:rPr>
          <w:rFonts w:cs="Arial"/>
          <w:i/>
          <w:iCs/>
          <w:color w:val="000000"/>
          <w:sz w:val="24"/>
          <w:szCs w:val="24"/>
        </w:rPr>
        <w:t>:</w:t>
      </w:r>
      <w:r>
        <w:rPr>
          <w:rFonts w:cs="Arial"/>
          <w:i/>
          <w:iCs/>
          <w:color w:val="000000"/>
          <w:sz w:val="26"/>
          <w:szCs w:val="26"/>
        </w:rPr>
        <w:t xml:space="preserve"> </w:t>
      </w:r>
      <w:r>
        <w:rPr>
          <w:rFonts w:cs="Arial"/>
          <w:iCs/>
          <w:szCs w:val="22"/>
        </w:rPr>
        <w:t>Les matériaux doivent éviter toute gêne sonore ou visuelle, dans ce but ils doivent respecter certaines dispositions</w:t>
      </w:r>
    </w:p>
    <w:p>
      <w:pPr>
        <w:pStyle w:val="Normal"/>
        <w:tabs>
          <w:tab w:val="clear" w:pos="709"/>
          <w:tab w:val="left" w:pos="-29" w:leader="none"/>
        </w:tabs>
        <w:overflowPunct w:val="true"/>
        <w:ind w:left="-1336" w:right="567" w:hanging="0"/>
        <w:jc w:val="both"/>
        <w:textAlignment w:val="auto"/>
        <w:rPr>
          <w:rFonts w:cs="Arial"/>
          <w:i/>
          <w:i/>
          <w:iCs/>
          <w:szCs w:val="22"/>
        </w:rPr>
      </w:pPr>
      <w:r>
        <w:rPr>
          <w:rFonts w:cs="Arial"/>
          <w:i/>
          <w:iCs/>
          <w:szCs w:val="22"/>
        </w:rPr>
      </w:r>
    </w:p>
    <w:p>
      <w:pPr>
        <w:pStyle w:val="Normal"/>
        <w:numPr>
          <w:ilvl w:val="2"/>
          <w:numId w:val="20"/>
        </w:numPr>
        <w:tabs>
          <w:tab w:val="clear" w:pos="709"/>
          <w:tab w:val="left" w:pos="464" w:leader="none"/>
          <w:tab w:val="left" w:pos="824" w:leader="none"/>
        </w:tabs>
        <w:overflowPunct w:val="true"/>
        <w:ind w:left="464" w:right="567" w:hanging="0"/>
        <w:jc w:val="both"/>
        <w:textAlignment w:val="auto"/>
        <w:rPr/>
      </w:pPr>
      <w:r>
        <w:rPr>
          <w:rFonts w:cs="Arial"/>
          <w:b/>
          <w:bCs/>
          <w:color w:val="000000"/>
          <w:sz w:val="24"/>
          <w:szCs w:val="24"/>
        </w:rPr>
        <w:t>le traitement acoustique des espaces d'accueil, d'attente du public et de restauration :</w:t>
      </w:r>
      <w:r>
        <w:rPr>
          <w:rFonts w:cs="Arial"/>
          <w:b/>
          <w:bCs/>
          <w:color w:val="000000"/>
          <w:sz w:val="26"/>
          <w:szCs w:val="26"/>
        </w:rPr>
        <w:t xml:space="preserve"> </w:t>
      </w:r>
      <w:r>
        <w:rPr>
          <w:rFonts w:cs="Arial"/>
          <w:iCs/>
          <w:color w:val="000000"/>
          <w:szCs w:val="22"/>
        </w:rPr>
        <w:t>Les</w:t>
      </w:r>
      <w:r>
        <w:rPr>
          <w:rFonts w:cs="Arial"/>
          <w:b/>
          <w:bCs/>
          <w:color w:val="000000"/>
          <w:sz w:val="26"/>
          <w:szCs w:val="26"/>
        </w:rPr>
        <w:t xml:space="preserve"> </w:t>
      </w:r>
      <w:r>
        <w:rPr>
          <w:rFonts w:cs="Arial"/>
          <w:iCs/>
          <w:color w:val="000000"/>
          <w:szCs w:val="22"/>
        </w:rPr>
        <w:t xml:space="preserve">niveaux de performance visés en termes d'isolement acoustique et d'absorption des sons, soit une </w:t>
      </w:r>
      <w:r>
        <w:rPr>
          <w:rFonts w:cs="Arial"/>
          <w:iCs/>
          <w:szCs w:val="22"/>
        </w:rPr>
        <w:t>aire d'absorption des revêtements et éléments absorbants &gt; 25 % de la surface au sol de ces locaux</w:t>
      </w:r>
      <w:r>
        <w:rPr>
          <w:rFonts w:cs="Arial"/>
          <w:iCs/>
          <w:color w:val="000000"/>
          <w:szCs w:val="22"/>
        </w:rPr>
        <w:t>.</w:t>
      </w:r>
    </w:p>
    <w:p>
      <w:pPr>
        <w:pStyle w:val="Normal"/>
        <w:tabs>
          <w:tab w:val="clear" w:pos="709"/>
          <w:tab w:val="left" w:pos="-29" w:leader="none"/>
        </w:tabs>
        <w:ind w:left="-1336" w:right="109" w:hanging="0"/>
        <w:jc w:val="both"/>
        <w:rPr>
          <w:rFonts w:cs="Arial"/>
          <w:i/>
          <w:i/>
          <w:iCs/>
          <w:color w:val="000000"/>
          <w:szCs w:val="22"/>
        </w:rPr>
      </w:pPr>
      <w:r>
        <w:rPr>
          <w:rFonts w:cs="Arial"/>
          <w:i/>
          <w:iCs/>
          <w:color w:val="000000"/>
          <w:szCs w:val="22"/>
        </w:rPr>
      </w:r>
    </w:p>
    <w:p>
      <w:pPr>
        <w:pStyle w:val="Normal"/>
        <w:numPr>
          <w:ilvl w:val="2"/>
          <w:numId w:val="21"/>
        </w:numPr>
        <w:tabs>
          <w:tab w:val="clear" w:pos="709"/>
          <w:tab w:val="left" w:pos="464" w:leader="none"/>
          <w:tab w:val="left" w:pos="824" w:leader="none"/>
        </w:tabs>
        <w:overflowPunct w:val="true"/>
        <w:ind w:left="464" w:right="567" w:hanging="0"/>
        <w:jc w:val="both"/>
        <w:textAlignment w:val="auto"/>
        <w:rPr/>
      </w:pPr>
      <w:r>
        <w:rPr>
          <w:rFonts w:cs="Arial"/>
          <w:b/>
          <w:bCs/>
          <w:color w:val="000000"/>
          <w:sz w:val="24"/>
          <w:szCs w:val="24"/>
        </w:rPr>
        <w:t xml:space="preserve">les dispositifs d'éclairage des parties communes : </w:t>
      </w:r>
      <w:r>
        <w:rPr>
          <w:rFonts w:cs="Arial"/>
          <w:bCs/>
          <w:iCs/>
          <w:color w:val="000000"/>
          <w:sz w:val="24"/>
          <w:szCs w:val="24"/>
        </w:rPr>
        <w:t>tout point du cheminement extérieur accessible, postes d'accueil, tout point des circulations intérieures horizontales, tout point de chaque escalier et équipement mobile.</w:t>
      </w:r>
      <w:r>
        <w:rPr>
          <w:rFonts w:cs="Arial"/>
          <w:b/>
          <w:bCs/>
          <w:iCs/>
          <w:color w:val="000000"/>
          <w:sz w:val="26"/>
          <w:szCs w:val="26"/>
        </w:rPr>
        <w:t xml:space="preserve"> </w:t>
      </w:r>
      <w:r>
        <w:rPr>
          <w:rFonts w:cs="Arial"/>
          <w:iCs/>
          <w:color w:val="000000"/>
          <w:sz w:val="24"/>
          <w:szCs w:val="24"/>
        </w:rPr>
        <w:t>Les</w:t>
      </w:r>
      <w:r>
        <w:rPr>
          <w:rFonts w:cs="Arial"/>
          <w:bCs/>
          <w:iCs/>
          <w:color w:val="000000"/>
          <w:sz w:val="24"/>
          <w:szCs w:val="24"/>
        </w:rPr>
        <w:t xml:space="preserve"> </w:t>
      </w:r>
      <w:r>
        <w:rPr>
          <w:rFonts w:cs="Arial"/>
          <w:iCs/>
          <w:color w:val="000000"/>
          <w:sz w:val="24"/>
          <w:szCs w:val="24"/>
        </w:rPr>
        <w:t>niveaux d'éclairement visés et moyens éventuellement prévus pour l'extinction progressive des luminaires doivent être précisés.</w:t>
      </w:r>
    </w:p>
    <w:p>
      <w:pPr>
        <w:pStyle w:val="Normal"/>
        <w:tabs>
          <w:tab w:val="clear" w:pos="709"/>
          <w:tab w:val="left" w:pos="-29" w:leader="none"/>
        </w:tabs>
        <w:ind w:left="-1336" w:right="123" w:hanging="0"/>
        <w:jc w:val="both"/>
        <w:rPr>
          <w:rFonts w:cs="Arial"/>
          <w:b/>
          <w:bCs/>
          <w:color w:val="000000"/>
          <w:sz w:val="26"/>
          <w:szCs w:val="26"/>
        </w:rPr>
      </w:pPr>
      <w:r>
        <w:rPr>
          <w:rFonts w:cs="Arial"/>
          <w:b/>
          <w:bCs/>
          <w:color w:val="000000"/>
          <w:sz w:val="26"/>
          <w:szCs w:val="26"/>
        </w:rPr>
      </w:r>
    </w:p>
    <w:p>
      <w:pPr>
        <w:pStyle w:val="Xl29"/>
        <w:shd w:val="clear" w:color="auto" w:fill="DDDDDD"/>
        <w:spacing w:before="0" w:after="0"/>
        <w:ind w:right="567" w:hanging="0"/>
        <w:jc w:val="both"/>
        <w:rPr/>
      </w:pPr>
      <w:r>
        <w:rPr>
          <w:color w:val="1F4E79" w:themeColor="accent1" w:themeShade="80"/>
          <w:sz w:val="32"/>
        </w:rPr>
        <w:t>6 - RENSEIGNEMENTS APPLICABLES A VOTRE PROJET</w:t>
      </w:r>
    </w:p>
    <w:p>
      <w:pPr>
        <w:pStyle w:val="NormalWeb"/>
        <w:rPr/>
      </w:pPr>
      <w:r>
        <w:rPr/>
      </w:r>
    </w:p>
    <w:p>
      <w:pPr>
        <w:pStyle w:val="NormalWeb"/>
        <w:numPr>
          <w:ilvl w:val="0"/>
          <w:numId w:val="51"/>
        </w:numPr>
        <w:rPr/>
      </w:pPr>
      <w:r>
        <w:rPr>
          <w:rFonts w:eastAsia="Times New Roman"/>
          <w:color w:val="127622" w:themeShade="80"/>
          <w:sz w:val="28"/>
          <w:szCs w:val="22"/>
        </w:rPr>
        <w:t>Descriptif des travaux envisagés</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Web"/>
        <w:numPr>
          <w:ilvl w:val="0"/>
          <w:numId w:val="0"/>
        </w:numPr>
        <w:ind w:left="720" w:hanging="0"/>
        <w:rPr>
          <w:sz w:val="16"/>
          <w:szCs w:val="16"/>
        </w:rPr>
      </w:pPr>
      <w:r>
        <w:rPr>
          <w:sz w:val="16"/>
          <w:szCs w:val="16"/>
        </w:rPr>
      </w:r>
    </w:p>
    <w:p>
      <w:pPr>
        <w:pStyle w:val="NormalWeb"/>
        <w:numPr>
          <w:ilvl w:val="0"/>
          <w:numId w:val="51"/>
        </w:numPr>
        <w:rPr/>
      </w:pPr>
      <w:r>
        <w:rPr>
          <w:rFonts w:eastAsia="Times New Roman" w:cs="Arial Unicode MS"/>
          <w:color w:val="127622" w:themeShade="80"/>
          <w:kern w:val="0"/>
          <w:sz w:val="28"/>
          <w:szCs w:val="22"/>
          <w:lang w:val="fr-FR" w:eastAsia="zh-CN" w:bidi="ar-SA"/>
        </w:rPr>
        <w:t>Cheminements extérieurs - article 2</w:t>
      </w:r>
    </w:p>
    <w:p>
      <w:pPr>
        <w:pStyle w:val="En-tte"/>
        <w:numPr>
          <w:ilvl w:val="0"/>
          <w:numId w:val="2"/>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Caractéristiques minimales à respecter pour le cheminement usuel (largeur, pente, devers, espaces de manœuvre de portes, de demi-tour, de repos, d'usage, ….)</w:t>
      </w:r>
    </w:p>
    <w:p>
      <w:pPr>
        <w:pStyle w:val="En-tte"/>
        <w:numPr>
          <w:ilvl w:val="0"/>
          <w:numId w:val="2"/>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Repérage, guidage (contraste visuel, signalisation,…)</w:t>
      </w:r>
    </w:p>
    <w:p>
      <w:pPr>
        <w:pStyle w:val="En-tte"/>
        <w:numPr>
          <w:ilvl w:val="0"/>
          <w:numId w:val="2"/>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Sécurité d'usage (hauteur sous obstacles, repérage vide sous escaliers, éveil de vigilance en haut des escaliers, …)</w:t>
      </w:r>
    </w:p>
    <w:p>
      <w:pPr>
        <w:pStyle w:val="En-tte"/>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
        <w:tabs>
          <w:tab w:val="clear" w:pos="709"/>
          <w:tab w:val="left" w:pos="9498" w:leader="none"/>
        </w:tabs>
        <w:ind w:left="142" w:right="567" w:hanging="142"/>
        <w:jc w:val="both"/>
        <w:rPr>
          <w:rFonts w:cs="Arial"/>
        </w:rPr>
      </w:pPr>
      <w:r>
        <w:rPr>
          <w:rFonts w:cs="Arial"/>
        </w:rPr>
      </w:r>
    </w:p>
    <w:p>
      <w:pPr>
        <w:pStyle w:val="NormalWeb"/>
        <w:numPr>
          <w:ilvl w:val="0"/>
          <w:numId w:val="51"/>
        </w:numPr>
        <w:rPr/>
      </w:pPr>
      <w:r>
        <w:rPr>
          <w:rFonts w:eastAsia="Times New Roman" w:cs="Arial Unicode MS"/>
          <w:color w:val="127622" w:themeShade="80"/>
          <w:kern w:val="0"/>
          <w:sz w:val="28"/>
          <w:szCs w:val="22"/>
          <w:lang w:val="fr-FR" w:eastAsia="zh-CN" w:bidi="ar-SA"/>
        </w:rPr>
        <w:t>Stationnement - article 3</w:t>
      </w:r>
    </w:p>
    <w:p>
      <w:pPr>
        <w:pStyle w:val="En-tte"/>
        <w:numPr>
          <w:ilvl w:val="0"/>
          <w:numId w:val="3"/>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Nombre : 2% du nombre total de places pour le public, situées à proximité de l'entrée, du hall d'accueil, de l'ascenseur, …</w:t>
      </w:r>
    </w:p>
    <w:p>
      <w:pPr>
        <w:pStyle w:val="En-tte"/>
        <w:numPr>
          <w:ilvl w:val="0"/>
          <w:numId w:val="3"/>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Dimensions</w:t>
      </w:r>
    </w:p>
    <w:p>
      <w:pPr>
        <w:pStyle w:val="En-tte"/>
        <w:numPr>
          <w:ilvl w:val="0"/>
          <w:numId w:val="3"/>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Signalisation verticale et marquage au sol</w:t>
      </w:r>
    </w:p>
    <w:p>
      <w:pPr>
        <w:pStyle w:val="En-tte"/>
        <w:numPr>
          <w:ilvl w:val="0"/>
          <w:numId w:val="3"/>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Raccordement avec cheminement horizontal sur une longueur de 1,40m minimum</w:t>
      </w:r>
    </w:p>
    <w:p>
      <w:pPr>
        <w:pStyle w:val="En-tte"/>
        <w:numPr>
          <w:ilvl w:val="0"/>
          <w:numId w:val="3"/>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Web"/>
        <w:numPr>
          <w:ilvl w:val="0"/>
          <w:numId w:val="51"/>
        </w:numPr>
        <w:rPr/>
      </w:pPr>
      <w:r>
        <w:br w:type="page"/>
      </w:r>
      <w:r>
        <w:rPr>
          <w:rFonts w:eastAsia="Times New Roman" w:cs="Arial Unicode MS"/>
          <w:color w:val="127622" w:themeShade="80"/>
          <w:kern w:val="0"/>
          <w:sz w:val="28"/>
          <w:szCs w:val="22"/>
          <w:lang w:val="fr-FR" w:eastAsia="zh-CN" w:bidi="ar-SA"/>
        </w:rPr>
        <w:t>Accès aux bâtiments - article 4</w:t>
      </w:r>
    </w:p>
    <w:p>
      <w:pPr>
        <w:pStyle w:val="En-tte"/>
        <w:numPr>
          <w:ilvl w:val="0"/>
          <w:numId w:val="4"/>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Entrées principales facilement repérable (éléments architecturaux, matériaux différents ou contraste visuel, …)</w:t>
      </w:r>
    </w:p>
    <w:p>
      <w:pPr>
        <w:pStyle w:val="En-tte"/>
        <w:numPr>
          <w:ilvl w:val="0"/>
          <w:numId w:val="22"/>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Caractéristiques à respecter (seuil, largeur de portes, conditions de filtrage, …</w:t>
      </w:r>
    </w:p>
    <w:p>
      <w:pPr>
        <w:pStyle w:val="En-tte"/>
        <w:numPr>
          <w:ilvl w:val="0"/>
          <w:numId w:val="22"/>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Nature et positionnement des systèmes de communication et des dispositifs de commande (interphone, poignées de portes,…)</w:t>
      </w:r>
    </w:p>
    <w:p>
      <w:pPr>
        <w:pStyle w:val="En-tte"/>
        <w:numPr>
          <w:ilvl w:val="0"/>
          <w:numId w:val="22"/>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
        <w:tabs>
          <w:tab w:val="clear" w:pos="709"/>
          <w:tab w:val="left" w:pos="9498" w:leader="none"/>
        </w:tabs>
        <w:ind w:right="567" w:hanging="0"/>
        <w:jc w:val="both"/>
        <w:rPr>
          <w:rFonts w:cs="Arial"/>
        </w:rPr>
      </w:pPr>
      <w:r>
        <w:rPr>
          <w:rFonts w:cs="Arial"/>
        </w:rPr>
      </w:r>
    </w:p>
    <w:p>
      <w:pPr>
        <w:pStyle w:val="NormalWeb"/>
        <w:numPr>
          <w:ilvl w:val="0"/>
          <w:numId w:val="51"/>
        </w:numPr>
        <w:rPr/>
      </w:pPr>
      <w:r>
        <w:rPr>
          <w:rFonts w:eastAsia="Times New Roman" w:cs="Arial Unicode MS"/>
          <w:color w:val="127622" w:themeShade="80"/>
          <w:kern w:val="0"/>
          <w:sz w:val="28"/>
          <w:szCs w:val="22"/>
          <w:lang w:val="fr-FR" w:eastAsia="zh-CN" w:bidi="ar-SA"/>
        </w:rPr>
        <w:t xml:space="preserve">Accueil du public - article 5 </w:t>
      </w:r>
    </w:p>
    <w:p>
      <w:pPr>
        <w:pStyle w:val="En-tte"/>
        <w:numPr>
          <w:ilvl w:val="0"/>
          <w:numId w:val="5"/>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Mobilier adapté pour les personnes circulant en fauteuil roulant et facilement repérable (indiquer les dimensions)</w:t>
      </w:r>
    </w:p>
    <w:p>
      <w:pPr>
        <w:pStyle w:val="En-tte"/>
        <w:numPr>
          <w:ilvl w:val="0"/>
          <w:numId w:val="23"/>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Si accueil sonorisé, si établissement de 1ère et 2ème catégorie ou si établissement exerçant une mission de service public, prévoir induction magnétique à la norme NF EN 60118-4:2007 et le pictogramme correspondant</w:t>
      </w:r>
    </w:p>
    <w:p>
      <w:pPr>
        <w:pStyle w:val="En-tte"/>
        <w:numPr>
          <w:ilvl w:val="0"/>
          <w:numId w:val="38"/>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 w:val="20"/>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tabs>
                <w:tab w:val="clear" w:pos="709"/>
                <w:tab w:val="left" w:pos="9498" w:leader="none"/>
              </w:tabs>
              <w:snapToGrid w:val="false"/>
              <w:ind w:right="567" w:hanging="0"/>
              <w:jc w:val="both"/>
              <w:rPr>
                <w:rFonts w:cs="Arial"/>
              </w:rPr>
            </w:pPr>
            <w:r>
              <w:rPr>
                <w:rFonts w:cs="Arial"/>
              </w:rPr>
            </w:r>
          </w:p>
          <w:p>
            <w:pPr>
              <w:pStyle w:val="Normal"/>
              <w:widowControl w:val="false"/>
              <w:tabs>
                <w:tab w:val="clear" w:pos="709"/>
                <w:tab w:val="left" w:pos="9498" w:leader="none"/>
              </w:tabs>
              <w:ind w:right="567" w:hanging="0"/>
              <w:jc w:val="both"/>
              <w:rPr>
                <w:rFonts w:cs="Arial"/>
                <w:sz w:val="20"/>
              </w:rPr>
            </w:pPr>
            <w:r>
              <w:rPr>
                <w:rFonts w:cs="Arial"/>
                <w:sz w:val="20"/>
              </w:rPr>
            </w:r>
          </w:p>
          <w:p>
            <w:pPr>
              <w:pStyle w:val="Normal"/>
              <w:widowControl w:val="false"/>
              <w:tabs>
                <w:tab w:val="clear" w:pos="709"/>
                <w:tab w:val="left" w:pos="9498" w:leader="none"/>
              </w:tabs>
              <w:ind w:right="567" w:hanging="0"/>
              <w:jc w:val="both"/>
              <w:rPr>
                <w:rFonts w:cs="Arial"/>
                <w:sz w:val="20"/>
              </w:rPr>
            </w:pPr>
            <w:r>
              <w:rPr>
                <w:rFonts w:cs="Arial"/>
                <w:sz w:val="20"/>
              </w:rPr>
            </w:r>
          </w:p>
          <w:p>
            <w:pPr>
              <w:pStyle w:val="Normal"/>
              <w:widowControl w:val="false"/>
              <w:tabs>
                <w:tab w:val="clear" w:pos="709"/>
                <w:tab w:val="left" w:pos="9498" w:leader="none"/>
              </w:tabs>
              <w:ind w:right="567" w:hanging="0"/>
              <w:jc w:val="both"/>
              <w:rPr>
                <w:rFonts w:cs="Arial"/>
                <w:sz w:val="20"/>
              </w:rPr>
            </w:pPr>
            <w:r>
              <w:rPr>
                <w:rFonts w:cs="Arial"/>
                <w:sz w:val="20"/>
              </w:rPr>
            </w:r>
          </w:p>
          <w:p>
            <w:pPr>
              <w:pStyle w:val="Normal"/>
              <w:widowControl w:val="false"/>
              <w:tabs>
                <w:tab w:val="clear" w:pos="709"/>
                <w:tab w:val="left" w:pos="9498" w:leader="none"/>
              </w:tabs>
              <w:ind w:right="567" w:hanging="0"/>
              <w:jc w:val="both"/>
              <w:rPr>
                <w:rFonts w:cs="Arial"/>
                <w:sz w:val="20"/>
              </w:rPr>
            </w:pPr>
            <w:r>
              <w:rPr>
                <w:rFonts w:cs="Arial"/>
                <w:sz w:val="20"/>
              </w:rPr>
            </w:r>
          </w:p>
          <w:p>
            <w:pPr>
              <w:pStyle w:val="Normal"/>
              <w:widowControl w:val="false"/>
              <w:tabs>
                <w:tab w:val="clear" w:pos="709"/>
                <w:tab w:val="left" w:pos="9498" w:leader="none"/>
              </w:tabs>
              <w:ind w:right="567" w:hanging="0"/>
              <w:jc w:val="both"/>
              <w:rPr>
                <w:rFonts w:cs="Arial"/>
                <w:sz w:val="20"/>
              </w:rPr>
            </w:pPr>
            <w:r>
              <w:rPr>
                <w:rFonts w:cs="Arial"/>
                <w:sz w:val="20"/>
              </w:rPr>
            </w:r>
          </w:p>
          <w:p>
            <w:pPr>
              <w:pStyle w:val="Normal"/>
              <w:widowControl w:val="false"/>
              <w:tabs>
                <w:tab w:val="clear" w:pos="709"/>
                <w:tab w:val="left" w:pos="9498" w:leader="none"/>
              </w:tabs>
              <w:ind w:right="567" w:hanging="0"/>
              <w:jc w:val="both"/>
              <w:rPr>
                <w:rFonts w:cs="Arial"/>
                <w:sz w:val="20"/>
              </w:rPr>
            </w:pPr>
            <w:r>
              <w:rPr>
                <w:rFonts w:cs="Arial"/>
                <w:sz w:val="20"/>
              </w:rPr>
            </w:r>
          </w:p>
          <w:p>
            <w:pPr>
              <w:pStyle w:val="Normal"/>
              <w:widowControl w:val="false"/>
              <w:tabs>
                <w:tab w:val="clear" w:pos="709"/>
                <w:tab w:val="left" w:pos="9498" w:leader="none"/>
              </w:tabs>
              <w:ind w:right="567" w:hanging="0"/>
              <w:jc w:val="both"/>
              <w:rPr>
                <w:rFonts w:cs="Arial"/>
                <w:sz w:val="20"/>
              </w:rPr>
            </w:pPr>
            <w:r>
              <w:rPr>
                <w:rFonts w:cs="Arial"/>
                <w:sz w:val="20"/>
              </w:rPr>
            </w:r>
          </w:p>
          <w:p>
            <w:pPr>
              <w:pStyle w:val="Normal"/>
              <w:widowControl w:val="false"/>
              <w:tabs>
                <w:tab w:val="clear" w:pos="709"/>
                <w:tab w:val="left" w:pos="9498" w:leader="none"/>
              </w:tabs>
              <w:ind w:right="567" w:hanging="0"/>
              <w:jc w:val="both"/>
              <w:rPr>
                <w:rFonts w:cs="Arial"/>
                <w:sz w:val="20"/>
              </w:rPr>
            </w:pPr>
            <w:r>
              <w:rPr>
                <w:rFonts w:cs="Arial"/>
                <w:sz w:val="20"/>
              </w:rPr>
            </w:r>
          </w:p>
          <w:p>
            <w:pPr>
              <w:pStyle w:val="Normal"/>
              <w:widowControl w:val="false"/>
              <w:tabs>
                <w:tab w:val="clear" w:pos="709"/>
                <w:tab w:val="left" w:pos="9498" w:leader="none"/>
              </w:tabs>
              <w:ind w:right="567" w:hanging="0"/>
              <w:jc w:val="both"/>
              <w:rPr>
                <w:rFonts w:cs="Arial"/>
                <w:sz w:val="20"/>
              </w:rPr>
            </w:pPr>
            <w:r>
              <w:rPr>
                <w:rFonts w:cs="Arial"/>
                <w:sz w:val="20"/>
              </w:rPr>
            </w:r>
          </w:p>
          <w:p>
            <w:pPr>
              <w:pStyle w:val="Normal"/>
              <w:widowControl w:val="false"/>
              <w:tabs>
                <w:tab w:val="clear" w:pos="709"/>
                <w:tab w:val="left" w:pos="9498" w:leader="none"/>
              </w:tabs>
              <w:ind w:right="567" w:hanging="0"/>
              <w:jc w:val="both"/>
              <w:rPr>
                <w:rFonts w:cs="Arial"/>
                <w:sz w:val="20"/>
              </w:rPr>
            </w:pPr>
            <w:r>
              <w:rPr>
                <w:rFonts w:cs="Arial"/>
                <w:sz w:val="20"/>
              </w:rPr>
            </w:r>
          </w:p>
          <w:p>
            <w:pPr>
              <w:pStyle w:val="Normal"/>
              <w:widowControl w:val="false"/>
              <w:tabs>
                <w:tab w:val="clear" w:pos="709"/>
                <w:tab w:val="left" w:pos="9498" w:leader="none"/>
              </w:tabs>
              <w:ind w:right="567" w:hanging="0"/>
              <w:jc w:val="both"/>
              <w:rPr>
                <w:rFonts w:cs="Arial"/>
                <w:sz w:val="20"/>
              </w:rPr>
            </w:pPr>
            <w:r>
              <w:rPr>
                <w:rFonts w:cs="Arial"/>
                <w:sz w:val="20"/>
              </w:rPr>
            </w:r>
          </w:p>
        </w:tc>
      </w:tr>
    </w:tbl>
    <w:p>
      <w:pPr>
        <w:pStyle w:val="Normal"/>
        <w:tabs>
          <w:tab w:val="clear" w:pos="709"/>
          <w:tab w:val="left" w:pos="9498" w:leader="none"/>
        </w:tabs>
        <w:ind w:right="567" w:hanging="0"/>
        <w:jc w:val="both"/>
        <w:rPr>
          <w:rFonts w:cs="Arial"/>
        </w:rPr>
      </w:pPr>
      <w:r>
        <w:rPr>
          <w:rFonts w:cs="Arial"/>
        </w:rPr>
      </w:r>
    </w:p>
    <w:p>
      <w:pPr>
        <w:pStyle w:val="NormalWeb"/>
        <w:numPr>
          <w:ilvl w:val="0"/>
          <w:numId w:val="51"/>
        </w:numPr>
        <w:rPr/>
      </w:pPr>
      <w:r>
        <w:rPr>
          <w:rFonts w:eastAsia="Times New Roman" w:cs="Arial Unicode MS"/>
          <w:color w:val="127622" w:themeShade="80"/>
          <w:kern w:val="0"/>
          <w:sz w:val="28"/>
          <w:szCs w:val="22"/>
          <w:lang w:val="fr-FR" w:eastAsia="zh-CN" w:bidi="ar-SA"/>
        </w:rPr>
        <w:t>Circulations intérieures horizontales - article 6</w:t>
      </w:r>
    </w:p>
    <w:p>
      <w:pPr>
        <w:pStyle w:val="En-tte"/>
        <w:numPr>
          <w:ilvl w:val="0"/>
          <w:numId w:val="6"/>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Éléments structurants repérables par les déficients visuels</w:t>
      </w:r>
    </w:p>
    <w:p>
      <w:pPr>
        <w:pStyle w:val="En-tte"/>
        <w:numPr>
          <w:ilvl w:val="0"/>
          <w:numId w:val="24"/>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Caractéristiques minimales à respecter (largeur des circulations, largeur des portes, espaces de manœuvre de portes,…)</w:t>
      </w:r>
    </w:p>
    <w:p>
      <w:pPr>
        <w:pStyle w:val="En-tte"/>
        <w:numPr>
          <w:ilvl w:val="0"/>
          <w:numId w:val="38"/>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
        <w:tabs>
          <w:tab w:val="clear" w:pos="709"/>
          <w:tab w:val="left" w:pos="9498" w:leader="none"/>
        </w:tabs>
        <w:ind w:right="567" w:hanging="0"/>
        <w:jc w:val="both"/>
        <w:rPr>
          <w:rFonts w:cs="Arial"/>
        </w:rPr>
      </w:pPr>
      <w:r>
        <w:rPr>
          <w:rFonts w:cs="Arial"/>
        </w:rPr>
      </w:r>
    </w:p>
    <w:p>
      <w:pPr>
        <w:pStyle w:val="NormalWeb"/>
        <w:numPr>
          <w:ilvl w:val="0"/>
          <w:numId w:val="51"/>
        </w:numPr>
        <w:rPr/>
      </w:pPr>
      <w:r>
        <w:rPr>
          <w:rFonts w:eastAsia="Times New Roman" w:cs="Arial Unicode MS"/>
          <w:color w:val="127622" w:themeShade="80"/>
          <w:kern w:val="0"/>
          <w:sz w:val="28"/>
          <w:szCs w:val="22"/>
          <w:lang w:val="fr-FR" w:eastAsia="zh-CN" w:bidi="ar-SA"/>
        </w:rPr>
        <w:t>Circulations intérieures verticales - article 7</w:t>
      </w:r>
    </w:p>
    <w:p>
      <w:pPr>
        <w:pStyle w:val="En-tte"/>
        <w:tabs>
          <w:tab w:val="center" w:pos="4536" w:leader="none"/>
          <w:tab w:val="right" w:pos="9072" w:leader="none"/>
          <w:tab w:val="left" w:pos="9498" w:leader="none"/>
        </w:tabs>
        <w:ind w:left="142" w:right="567" w:hanging="142"/>
        <w:jc w:val="both"/>
        <w:rPr>
          <w:rFonts w:cs="Arial"/>
          <w:sz w:val="16"/>
          <w:szCs w:val="16"/>
        </w:rPr>
      </w:pPr>
      <w:r>
        <w:rPr>
          <w:rFonts w:cs="Arial"/>
          <w:sz w:val="16"/>
          <w:szCs w:val="16"/>
        </w:rPr>
      </w:r>
    </w:p>
    <w:p>
      <w:pPr>
        <w:pStyle w:val="En-tte"/>
        <w:numPr>
          <w:ilvl w:val="0"/>
          <w:numId w:val="52"/>
        </w:numPr>
        <w:tabs>
          <w:tab w:val="center" w:pos="4536" w:leader="none"/>
          <w:tab w:val="right" w:pos="9072" w:leader="none"/>
          <w:tab w:val="left" w:pos="9498" w:leader="none"/>
        </w:tabs>
        <w:ind w:left="862" w:right="567" w:hanging="360"/>
        <w:jc w:val="both"/>
        <w:rPr/>
      </w:pPr>
      <w:r>
        <w:rPr>
          <w:rFonts w:cs="Arial"/>
          <w:b/>
          <w:bCs/>
          <w:sz w:val="26"/>
          <w:szCs w:val="22"/>
        </w:rPr>
        <w:t>Escaliers</w:t>
      </w:r>
    </w:p>
    <w:p>
      <w:pPr>
        <w:pStyle w:val="En-tte"/>
        <w:numPr>
          <w:ilvl w:val="0"/>
          <w:numId w:val="7"/>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Contraste visuel et tactile en haut des escaliers</w:t>
      </w:r>
    </w:p>
    <w:p>
      <w:pPr>
        <w:pStyle w:val="En-tte"/>
        <w:numPr>
          <w:ilvl w:val="0"/>
          <w:numId w:val="25"/>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Caractéristiques minimales à respecter (largeur des escaliers, hauteur des marches et giron, mains courantes contrastée, …)</w:t>
      </w:r>
    </w:p>
    <w:p>
      <w:pPr>
        <w:pStyle w:val="En-tte"/>
        <w:numPr>
          <w:ilvl w:val="0"/>
          <w:numId w:val="39"/>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Qualité d'éclairage (minimum 150 lux)</w:t>
      </w:r>
    </w:p>
    <w:p>
      <w:pPr>
        <w:pStyle w:val="En-tte"/>
        <w:numPr>
          <w:ilvl w:val="0"/>
          <w:numId w:val="38"/>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
        <w:tabs>
          <w:tab w:val="clear" w:pos="709"/>
          <w:tab w:val="left" w:pos="9498" w:leader="none"/>
        </w:tabs>
        <w:ind w:right="567" w:hanging="0"/>
        <w:jc w:val="both"/>
        <w:rPr>
          <w:rFonts w:cs="Arial"/>
        </w:rPr>
      </w:pPr>
      <w:r>
        <w:rPr>
          <w:rFonts w:cs="Arial"/>
        </w:rPr>
      </w:r>
    </w:p>
    <w:p>
      <w:pPr>
        <w:pStyle w:val="En-tte"/>
        <w:numPr>
          <w:ilvl w:val="0"/>
          <w:numId w:val="52"/>
        </w:numPr>
        <w:tabs>
          <w:tab w:val="center" w:pos="4536" w:leader="none"/>
          <w:tab w:val="right" w:pos="9072" w:leader="none"/>
          <w:tab w:val="left" w:pos="9498" w:leader="none"/>
        </w:tabs>
        <w:ind w:left="862" w:right="567" w:hanging="360"/>
        <w:jc w:val="both"/>
        <w:rPr/>
      </w:pPr>
      <w:r>
        <w:rPr>
          <w:rFonts w:cs="Arial"/>
          <w:b/>
          <w:bCs/>
          <w:sz w:val="26"/>
          <w:szCs w:val="22"/>
        </w:rPr>
        <w:t>Ascenseurs</w:t>
      </w:r>
    </w:p>
    <w:p>
      <w:pPr>
        <w:pStyle w:val="En-tte"/>
        <w:numPr>
          <w:ilvl w:val="0"/>
          <w:numId w:val="8"/>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Obligation d'ascenseur si accueil en étages de plus de 50 personnes (100 pour type R) ou prestations différentes de celles offertes au niveau accessible</w:t>
      </w:r>
    </w:p>
    <w:p>
      <w:pPr>
        <w:pStyle w:val="En-tte"/>
        <w:numPr>
          <w:ilvl w:val="0"/>
          <w:numId w:val="26"/>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Conforme à la norme NF EN 81-70:2003(dimensionnement, éclairage, appui, indications liées au mouvement de la cabine, annonce des étages desservis, …)</w:t>
      </w:r>
    </w:p>
    <w:p>
      <w:pPr>
        <w:pStyle w:val="En-tte"/>
        <w:numPr>
          <w:ilvl w:val="0"/>
          <w:numId w:val="40"/>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Possibilité d'élévateurs à usage permanent conforme au décret du 8 décembre 2014,  article 7- paragraphe 4.</w:t>
      </w:r>
    </w:p>
    <w:p>
      <w:pPr>
        <w:pStyle w:val="En-tte"/>
        <w:numPr>
          <w:ilvl w:val="0"/>
          <w:numId w:val="38"/>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
        <w:tabs>
          <w:tab w:val="clear" w:pos="709"/>
          <w:tab w:val="left" w:pos="9498" w:leader="none"/>
        </w:tabs>
        <w:ind w:right="567" w:hanging="0"/>
        <w:jc w:val="both"/>
        <w:rPr>
          <w:rFonts w:cs="Arial"/>
        </w:rPr>
      </w:pPr>
      <w:r>
        <w:rPr>
          <w:rFonts w:cs="Arial"/>
        </w:rPr>
      </w:r>
    </w:p>
    <w:p>
      <w:pPr>
        <w:pStyle w:val="NormalWeb"/>
        <w:numPr>
          <w:ilvl w:val="0"/>
          <w:numId w:val="51"/>
        </w:numPr>
        <w:rPr/>
      </w:pPr>
      <w:r>
        <w:rPr>
          <w:rFonts w:eastAsia="Times New Roman" w:cs="Arial Unicode MS"/>
          <w:color w:val="127622" w:themeShade="80"/>
          <w:kern w:val="0"/>
          <w:sz w:val="28"/>
          <w:szCs w:val="22"/>
          <w:lang w:val="fr-FR" w:eastAsia="zh-CN" w:bidi="ar-SA"/>
        </w:rPr>
        <w:t>Tapis roulants, escaliers et plans inclinés mécaniques- article 8</w:t>
      </w:r>
    </w:p>
    <w:p>
      <w:pPr>
        <w:pStyle w:val="NormalWeb"/>
        <w:rPr>
          <w:sz w:val="16"/>
          <w:szCs w:val="16"/>
        </w:rPr>
      </w:pPr>
      <w:r>
        <w:rPr>
          <w:sz w:val="16"/>
          <w:szCs w:val="16"/>
        </w:rPr>
      </w:r>
    </w:p>
    <w:p>
      <w:pPr>
        <w:pStyle w:val="En-tte"/>
        <w:numPr>
          <w:ilvl w:val="0"/>
          <w:numId w:val="9"/>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Ne peuvent remplacer un ascenseur obligatoire</w:t>
      </w:r>
    </w:p>
    <w:p>
      <w:pPr>
        <w:pStyle w:val="En-tte"/>
        <w:numPr>
          <w:ilvl w:val="0"/>
          <w:numId w:val="27"/>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Respect de prescriptions particulières pour le repérage et l'utilisation d'arrêt d'urgence</w:t>
      </w:r>
    </w:p>
    <w:p>
      <w:pPr>
        <w:pStyle w:val="En-tte"/>
        <w:numPr>
          <w:ilvl w:val="0"/>
          <w:numId w:val="41"/>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Doivent être doublés par un cheminement accessible non mobile ou par un ascenseur</w:t>
      </w:r>
    </w:p>
    <w:p>
      <w:pPr>
        <w:pStyle w:val="En-tte"/>
        <w:numPr>
          <w:ilvl w:val="0"/>
          <w:numId w:val="38"/>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Web"/>
        <w:numPr>
          <w:ilvl w:val="0"/>
          <w:numId w:val="51"/>
        </w:numPr>
        <w:rPr/>
      </w:pPr>
      <w:r>
        <w:rPr>
          <w:rFonts w:eastAsia="Times New Roman" w:cs="Arial Unicode MS"/>
          <w:color w:val="127622" w:themeShade="80"/>
          <w:kern w:val="0"/>
          <w:sz w:val="28"/>
          <w:szCs w:val="22"/>
          <w:lang w:val="fr-FR" w:eastAsia="zh-CN" w:bidi="ar-SA"/>
        </w:rPr>
        <w:t>Revêtements de sols, murs et plafonds - article 9</w:t>
      </w:r>
    </w:p>
    <w:p>
      <w:pPr>
        <w:pStyle w:val="En-tte"/>
        <w:numPr>
          <w:ilvl w:val="0"/>
          <w:numId w:val="10"/>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Les matériaux doivent éviter tout gêne sonore ou visuelle</w:t>
      </w:r>
    </w:p>
    <w:p>
      <w:pPr>
        <w:pStyle w:val="En-tte"/>
        <w:numPr>
          <w:ilvl w:val="0"/>
          <w:numId w:val="28"/>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Dans ce but ils doivent respecter certaines dispositions (dureté, aire d'absorption des revêtements et éléments absorbants &gt; 25 % de la surface au sol des espaces d'accueil, d'attente, de restauration, …)</w:t>
      </w:r>
    </w:p>
    <w:p>
      <w:pPr>
        <w:pStyle w:val="En-tte"/>
        <w:numPr>
          <w:ilvl w:val="0"/>
          <w:numId w:val="42"/>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
        <w:tabs>
          <w:tab w:val="clear" w:pos="709"/>
          <w:tab w:val="left" w:pos="9498" w:leader="none"/>
        </w:tabs>
        <w:ind w:right="567" w:hanging="0"/>
        <w:jc w:val="both"/>
        <w:rPr>
          <w:rFonts w:cs="Arial"/>
        </w:rPr>
      </w:pPr>
      <w:r>
        <w:rPr>
          <w:rFonts w:cs="Arial"/>
        </w:rPr>
      </w:r>
    </w:p>
    <w:p>
      <w:pPr>
        <w:pStyle w:val="NormalWeb"/>
        <w:numPr>
          <w:ilvl w:val="0"/>
          <w:numId w:val="51"/>
        </w:numPr>
        <w:rPr/>
      </w:pPr>
      <w:r>
        <w:rPr>
          <w:rFonts w:eastAsia="Times New Roman" w:cs="Arial Unicode MS"/>
          <w:color w:val="127622" w:themeShade="80"/>
          <w:kern w:val="0"/>
          <w:sz w:val="28"/>
          <w:szCs w:val="22"/>
          <w:lang w:val="fr-FR" w:eastAsia="zh-CN" w:bidi="ar-SA"/>
        </w:rPr>
        <w:t>Portes, portiques et SAS - article 10</w:t>
      </w:r>
    </w:p>
    <w:p>
      <w:pPr>
        <w:pStyle w:val="En-tte"/>
        <w:numPr>
          <w:ilvl w:val="0"/>
          <w:numId w:val="11"/>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Caractéristiques minimales à respecter (largeur des portes, positionnement des poignées, résistance des fermes-portes, repérage des parties vitrées, espaces de manœuvre de portes (voir annexe 2, …)</w:t>
      </w:r>
    </w:p>
    <w:p>
      <w:pPr>
        <w:pStyle w:val="En-tte"/>
        <w:numPr>
          <w:ilvl w:val="0"/>
          <w:numId w:val="29"/>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
        <w:tabs>
          <w:tab w:val="clear" w:pos="709"/>
          <w:tab w:val="left" w:pos="9498" w:leader="none"/>
        </w:tabs>
        <w:ind w:right="567" w:hanging="0"/>
        <w:jc w:val="both"/>
        <w:rPr>
          <w:rFonts w:cs="Arial"/>
          <w:sz w:val="16"/>
          <w:szCs w:val="16"/>
        </w:rPr>
      </w:pPr>
      <w:r>
        <w:rPr>
          <w:rFonts w:cs="Arial"/>
          <w:sz w:val="16"/>
          <w:szCs w:val="16"/>
        </w:rPr>
      </w:r>
    </w:p>
    <w:p>
      <w:pPr>
        <w:pStyle w:val="NormalWeb"/>
        <w:numPr>
          <w:ilvl w:val="0"/>
          <w:numId w:val="51"/>
        </w:numPr>
        <w:rPr/>
      </w:pPr>
      <w:r>
        <w:rPr>
          <w:rFonts w:eastAsia="Times New Roman" w:cs="Arial Unicode MS"/>
          <w:color w:val="127622" w:themeShade="80"/>
          <w:kern w:val="0"/>
          <w:sz w:val="28"/>
          <w:szCs w:val="22"/>
          <w:lang w:val="fr-FR" w:eastAsia="zh-CN" w:bidi="ar-SA"/>
        </w:rPr>
        <w:t>Locaux ouverts au public, équipements et dispositifs de commande - article 11</w:t>
      </w:r>
    </w:p>
    <w:p>
      <w:pPr>
        <w:pStyle w:val="En-tte"/>
        <w:numPr>
          <w:ilvl w:val="0"/>
          <w:numId w:val="12"/>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Nécessité d'un repérage aisé des équipements et dispositifs de commandes (contraste visuel, signalisation,…)</w:t>
      </w:r>
    </w:p>
    <w:p>
      <w:pPr>
        <w:pStyle w:val="En-tte"/>
        <w:numPr>
          <w:ilvl w:val="0"/>
          <w:numId w:val="30"/>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Caractéristiques minimales du vide nécessaire en partie inférieure des lavabos; guichets, mobiliers à usage de lecture, d'écriture ou d'usage d'un clavier</w:t>
      </w:r>
    </w:p>
    <w:p>
      <w:pPr>
        <w:pStyle w:val="En-tte"/>
        <w:numPr>
          <w:ilvl w:val="0"/>
          <w:numId w:val="43"/>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Caractéristiques minimales à respecter pour les commandes manuelles, les fonctions de voir, entendre ou parler</w:t>
      </w:r>
    </w:p>
    <w:p>
      <w:pPr>
        <w:pStyle w:val="En-tte"/>
        <w:numPr>
          <w:ilvl w:val="0"/>
          <w:numId w:val="38"/>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Information sonore doublée par une information visuelle</w:t>
      </w:r>
    </w:p>
    <w:p>
      <w:pPr>
        <w:pStyle w:val="En-tte"/>
        <w:numPr>
          <w:ilvl w:val="0"/>
          <w:numId w:val="38"/>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Web"/>
        <w:numPr>
          <w:ilvl w:val="0"/>
          <w:numId w:val="51"/>
        </w:numPr>
        <w:rPr/>
      </w:pPr>
      <w:r>
        <w:rPr>
          <w:rFonts w:eastAsia="Times New Roman" w:cs="Arial Unicode MS"/>
          <w:color w:val="127622" w:themeShade="80"/>
          <w:kern w:val="0"/>
          <w:sz w:val="28"/>
          <w:szCs w:val="22"/>
          <w:lang w:val="fr-FR" w:eastAsia="zh-CN" w:bidi="ar-SA"/>
        </w:rPr>
        <w:t>Sanitaires - article 12</w:t>
      </w:r>
    </w:p>
    <w:p>
      <w:pPr>
        <w:pStyle w:val="En-tte"/>
        <w:numPr>
          <w:ilvl w:val="0"/>
          <w:numId w:val="13"/>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Localisation et caractéristiques minimales à respecter pour les sanitaires accessibles aux personnes handicapées</w:t>
      </w:r>
    </w:p>
    <w:p>
      <w:pPr>
        <w:pStyle w:val="En-tte"/>
        <w:numPr>
          <w:ilvl w:val="0"/>
          <w:numId w:val="31"/>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Espace latéral libre à côté de la cuvette, espace de manœuvre de porte avec possibilité de demi-tour à l'intérieur ou à défaut à l'extérieur</w:t>
      </w:r>
    </w:p>
    <w:p>
      <w:pPr>
        <w:pStyle w:val="En-tte"/>
        <w:numPr>
          <w:ilvl w:val="0"/>
          <w:numId w:val="44"/>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Positionnement de la cuvette (hauteur, …), de la barre d'appui, …</w:t>
      </w:r>
    </w:p>
    <w:p>
      <w:pPr>
        <w:pStyle w:val="En-tte"/>
        <w:numPr>
          <w:ilvl w:val="0"/>
          <w:numId w:val="38"/>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Positionnement des accessoires tels que miroir, distributeur de savon, sèche-mains, …</w:t>
      </w:r>
    </w:p>
    <w:p>
      <w:pPr>
        <w:pStyle w:val="En-tte"/>
        <w:numPr>
          <w:ilvl w:val="0"/>
          <w:numId w:val="38"/>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 xml:space="preserve">Obligation d'un lave mains à l'intérieur des sanitaires. </w:t>
      </w:r>
    </w:p>
    <w:p>
      <w:pPr>
        <w:pStyle w:val="En-tte"/>
        <w:numPr>
          <w:ilvl w:val="0"/>
          <w:numId w:val="38"/>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
        <w:tabs>
          <w:tab w:val="clear" w:pos="709"/>
          <w:tab w:val="left" w:pos="9498" w:leader="none"/>
        </w:tabs>
        <w:ind w:right="567" w:hanging="0"/>
        <w:jc w:val="both"/>
        <w:rPr>
          <w:rFonts w:cs="Arial"/>
        </w:rPr>
      </w:pPr>
      <w:r>
        <w:rPr>
          <w:rFonts w:cs="Arial"/>
        </w:rPr>
      </w:r>
    </w:p>
    <w:p>
      <w:pPr>
        <w:pStyle w:val="NormalWeb"/>
        <w:numPr>
          <w:ilvl w:val="0"/>
          <w:numId w:val="51"/>
        </w:numPr>
        <w:rPr/>
      </w:pPr>
      <w:r>
        <w:rPr>
          <w:rFonts w:eastAsia="Times New Roman" w:cs="Arial Unicode MS"/>
          <w:color w:val="127622" w:themeShade="80"/>
          <w:kern w:val="0"/>
          <w:sz w:val="28"/>
          <w:szCs w:val="22"/>
          <w:lang w:val="fr-FR" w:eastAsia="zh-CN" w:bidi="ar-SA"/>
        </w:rPr>
        <w:t>Sorties - article 13</w:t>
      </w:r>
    </w:p>
    <w:p>
      <w:pPr>
        <w:pStyle w:val="En-tte"/>
        <w:numPr>
          <w:ilvl w:val="0"/>
          <w:numId w:val="14"/>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Les sorties correspondantes à un usage normal du bâtiment doivent être repérable de tout point et sans confusion avec les sorties de secours</w:t>
      </w:r>
    </w:p>
    <w:p>
      <w:pPr>
        <w:pStyle w:val="En-tte"/>
        <w:numPr>
          <w:ilvl w:val="0"/>
          <w:numId w:val="32"/>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
        <w:tabs>
          <w:tab w:val="clear" w:pos="709"/>
          <w:tab w:val="left" w:pos="9498" w:leader="none"/>
        </w:tabs>
        <w:ind w:right="567" w:hanging="0"/>
        <w:jc w:val="both"/>
        <w:rPr>
          <w:rFonts w:cs="Arial"/>
        </w:rPr>
      </w:pPr>
      <w:r>
        <w:rPr>
          <w:rFonts w:cs="Arial"/>
        </w:rPr>
      </w:r>
    </w:p>
    <w:p>
      <w:pPr>
        <w:pStyle w:val="NormalWeb"/>
        <w:numPr>
          <w:ilvl w:val="0"/>
          <w:numId w:val="51"/>
        </w:numPr>
        <w:rPr/>
      </w:pPr>
      <w:r>
        <w:rPr>
          <w:rFonts w:eastAsia="Times New Roman" w:cs="Arial Unicode MS"/>
          <w:color w:val="127622" w:themeShade="80"/>
          <w:kern w:val="0"/>
          <w:sz w:val="28"/>
          <w:szCs w:val="22"/>
          <w:lang w:val="fr-FR" w:eastAsia="zh-CN" w:bidi="ar-SA"/>
        </w:rPr>
        <w:t>Éclairage - article 14</w:t>
      </w:r>
    </w:p>
    <w:p>
      <w:pPr>
        <w:pStyle w:val="En-tte"/>
        <w:numPr>
          <w:ilvl w:val="0"/>
          <w:numId w:val="14"/>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Les dispositifs d’éclairage doivent être adaptés pour permettre d’assurer des valeurs d’éclairement mesurées au sol.</w:t>
      </w:r>
    </w:p>
    <w:p>
      <w:pPr>
        <w:pStyle w:val="En-tte"/>
        <w:numPr>
          <w:ilvl w:val="0"/>
          <w:numId w:val="14"/>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Durée d’éclairage du fonctionnement d’un système temporisé,</w:t>
      </w:r>
    </w:p>
    <w:p>
      <w:pPr>
        <w:pStyle w:val="En-tte"/>
        <w:numPr>
          <w:ilvl w:val="0"/>
          <w:numId w:val="32"/>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Xl29"/>
        <w:tabs>
          <w:tab w:val="clear" w:pos="709"/>
          <w:tab w:val="left" w:pos="9498" w:leader="none"/>
        </w:tabs>
        <w:spacing w:before="0" w:after="0"/>
        <w:ind w:right="567" w:hanging="0"/>
        <w:jc w:val="both"/>
        <w:rPr/>
      </w:pPr>
      <w:r>
        <w:rPr/>
      </w:r>
    </w:p>
    <w:p>
      <w:pPr>
        <w:pStyle w:val="Xl29"/>
        <w:shd w:val="clear" w:color="auto" w:fill="DDDDDD"/>
        <w:spacing w:before="0" w:after="0"/>
        <w:ind w:right="-2" w:hanging="0"/>
        <w:jc w:val="both"/>
        <w:rPr/>
      </w:pPr>
      <w:r>
        <w:rPr>
          <w:color w:val="1F4E79" w:themeColor="accent1" w:themeShade="80"/>
          <w:sz w:val="32"/>
        </w:rPr>
        <w:t>DISPOSITIONS SUPPLÉMENTAIRES</w:t>
      </w:r>
    </w:p>
    <w:p>
      <w:pPr>
        <w:pStyle w:val="NormalWeb"/>
        <w:rPr>
          <w:sz w:val="16"/>
          <w:szCs w:val="16"/>
        </w:rPr>
      </w:pPr>
      <w:r>
        <w:rPr>
          <w:sz w:val="16"/>
          <w:szCs w:val="16"/>
        </w:rPr>
      </w:r>
    </w:p>
    <w:p>
      <w:pPr>
        <w:pStyle w:val="NormalWeb"/>
        <w:numPr>
          <w:ilvl w:val="0"/>
          <w:numId w:val="51"/>
        </w:numPr>
        <w:rPr/>
      </w:pPr>
      <w:r>
        <w:rPr>
          <w:rFonts w:eastAsia="Times New Roman"/>
          <w:color w:val="127622" w:themeShade="80"/>
          <w:sz w:val="28"/>
          <w:szCs w:val="28"/>
        </w:rPr>
        <w:t>Établissements recevant du public assis - article 16</w:t>
      </w:r>
    </w:p>
    <w:p>
      <w:pPr>
        <w:pStyle w:val="En-tte"/>
        <w:numPr>
          <w:ilvl w:val="0"/>
          <w:numId w:val="33"/>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Caractéristiques minimales des emplacements à respecter (nombre, caractéristiques dimensionnelles et répartition)</w:t>
      </w:r>
    </w:p>
    <w:p>
      <w:pPr>
        <w:pStyle w:val="En-tte"/>
        <w:numPr>
          <w:ilvl w:val="0"/>
          <w:numId w:val="34"/>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
        <w:tabs>
          <w:tab w:val="clear" w:pos="709"/>
          <w:tab w:val="left" w:pos="9498" w:leader="none"/>
        </w:tabs>
        <w:ind w:right="567" w:hanging="0"/>
        <w:jc w:val="both"/>
        <w:rPr>
          <w:rFonts w:cs="Arial"/>
        </w:rPr>
      </w:pPr>
      <w:r>
        <w:rPr>
          <w:rFonts w:cs="Arial"/>
        </w:rPr>
      </w:r>
    </w:p>
    <w:p>
      <w:pPr>
        <w:pStyle w:val="NormalWeb"/>
        <w:numPr>
          <w:ilvl w:val="0"/>
          <w:numId w:val="51"/>
        </w:numPr>
        <w:rPr/>
      </w:pPr>
      <w:r>
        <w:rPr>
          <w:rFonts w:eastAsia="Times New Roman" w:cs="Arial Unicode MS"/>
          <w:color w:val="127622" w:themeShade="80"/>
          <w:kern w:val="0"/>
          <w:sz w:val="28"/>
          <w:szCs w:val="22"/>
          <w:lang w:val="fr-FR" w:eastAsia="zh-CN" w:bidi="ar-SA"/>
        </w:rPr>
        <w:t>Établissements comportant des locaux d'hébergement - article 17</w:t>
      </w:r>
    </w:p>
    <w:p>
      <w:pPr>
        <w:pStyle w:val="En-tte"/>
        <w:numPr>
          <w:ilvl w:val="0"/>
          <w:numId w:val="16"/>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Caractéristiques minimales des chambres à respecter (nombre, caractéristiques dimensionnelles et répartition)</w:t>
      </w:r>
    </w:p>
    <w:p>
      <w:pPr>
        <w:pStyle w:val="En-tte"/>
        <w:numPr>
          <w:ilvl w:val="0"/>
          <w:numId w:val="35"/>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Toutes les chambres doivent être adaptées dans le cas d'établissements d'hébergement de personnes âgées ou handicapées</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Web"/>
        <w:numPr>
          <w:ilvl w:val="0"/>
          <w:numId w:val="51"/>
        </w:numPr>
        <w:rPr/>
      </w:pPr>
      <w:r>
        <w:rPr>
          <w:rFonts w:eastAsia="Times New Roman" w:cs="Arial Unicode MS"/>
          <w:color w:val="127622" w:themeShade="80"/>
          <w:kern w:val="0"/>
          <w:sz w:val="28"/>
          <w:szCs w:val="22"/>
          <w:lang w:val="fr-FR" w:eastAsia="zh-CN" w:bidi="ar-SA"/>
        </w:rPr>
        <w:t>Douches et cabines - article 18</w:t>
      </w:r>
    </w:p>
    <w:p>
      <w:pPr>
        <w:pStyle w:val="En-tte"/>
        <w:numPr>
          <w:ilvl w:val="0"/>
          <w:numId w:val="17"/>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Caractéristiques minimales des cabines et des douches à respecter (nombre, caractéristiques dimensionnelles, nature des équipements)</w:t>
      </w:r>
    </w:p>
    <w:p>
      <w:pPr>
        <w:pStyle w:val="En-tte"/>
        <w:numPr>
          <w:ilvl w:val="0"/>
          <w:numId w:val="36"/>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Web"/>
        <w:rPr/>
      </w:pPr>
      <w:r>
        <w:rPr/>
      </w:r>
    </w:p>
    <w:p>
      <w:pPr>
        <w:pStyle w:val="NormalWeb"/>
        <w:numPr>
          <w:ilvl w:val="0"/>
          <w:numId w:val="51"/>
        </w:numPr>
        <w:rPr/>
      </w:pPr>
      <w:r>
        <w:rPr>
          <w:rFonts w:eastAsia="Times New Roman" w:cs="Arial Unicode MS"/>
          <w:color w:val="127622" w:themeShade="80"/>
          <w:kern w:val="0"/>
          <w:sz w:val="28"/>
          <w:szCs w:val="22"/>
          <w:lang w:val="fr-FR" w:eastAsia="zh-CN" w:bidi="ar-SA"/>
        </w:rPr>
        <w:t>Caisses de paiement disposées en batterie - article 19</w:t>
      </w:r>
    </w:p>
    <w:p>
      <w:pPr>
        <w:pStyle w:val="En-tte"/>
        <w:numPr>
          <w:ilvl w:val="0"/>
          <w:numId w:val="18"/>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Caractéristiques minimales des caisses de paiement disposées en batterie à respecter (nombre, caractéristiques dimensionnelles et répartition)</w:t>
      </w:r>
    </w:p>
    <w:p>
      <w:pPr>
        <w:pStyle w:val="En-tte"/>
        <w:numPr>
          <w:ilvl w:val="0"/>
          <w:numId w:val="37"/>
        </w:numPr>
        <w:tabs>
          <w:tab w:val="left" w:pos="360" w:leader="none"/>
          <w:tab w:val="left" w:pos="720" w:leader="none"/>
          <w:tab w:val="center" w:pos="4536" w:leader="none"/>
          <w:tab w:val="right" w:pos="9072" w:leader="none"/>
          <w:tab w:val="left" w:pos="9498" w:leader="none"/>
        </w:tabs>
        <w:ind w:left="360" w:right="567" w:hanging="0"/>
        <w:jc w:val="both"/>
        <w:rPr/>
      </w:pPr>
      <w:r>
        <w:rPr>
          <w:rFonts w:cs="Arial"/>
          <w:i/>
          <w:iCs/>
          <w:szCs w:val="22"/>
        </w:rPr>
        <w:t>Largeur minimale d'accès aux caisses …</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bookmarkStart w:id="1" w:name="_GoBack"/>
            <w:bookmarkStart w:id="2" w:name="_GoBack"/>
            <w:bookmarkEnd w:id="2"/>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Web"/>
        <w:numPr>
          <w:ilvl w:val="0"/>
          <w:numId w:val="0"/>
        </w:numPr>
        <w:ind w:left="720" w:hanging="0"/>
        <w:rPr>
          <w:rFonts w:ascii="Arial Unicode MS" w:hAnsi="Arial Unicode MS" w:eastAsia="Times New Roman" w:cs="Arial Unicode MS"/>
          <w:color w:val="127622" w:themeShade="80"/>
          <w:kern w:val="0"/>
          <w:sz w:val="16"/>
          <w:szCs w:val="16"/>
          <w:lang w:val="fr-FR" w:eastAsia="zh-CN" w:bidi="ar-SA"/>
        </w:rPr>
      </w:pPr>
      <w:r>
        <w:rPr>
          <w:rFonts w:eastAsia="Times New Roman" w:cs="Arial Unicode MS"/>
          <w:color w:val="127622" w:themeShade="80"/>
          <w:kern w:val="0"/>
          <w:sz w:val="16"/>
          <w:szCs w:val="16"/>
          <w:lang w:val="fr-FR" w:eastAsia="zh-CN" w:bidi="ar-SA"/>
        </w:rPr>
      </w:r>
    </w:p>
    <w:p>
      <w:pPr>
        <w:pStyle w:val="NormalWeb"/>
        <w:numPr>
          <w:ilvl w:val="0"/>
          <w:numId w:val="51"/>
        </w:numPr>
        <w:rPr/>
      </w:pPr>
      <w:r>
        <w:rPr>
          <w:rFonts w:eastAsia="Times New Roman" w:cs="Arial Unicode MS"/>
          <w:color w:val="127622" w:themeShade="80"/>
          <w:kern w:val="0"/>
          <w:sz w:val="28"/>
          <w:szCs w:val="22"/>
          <w:lang w:val="fr-FR" w:eastAsia="zh-CN" w:bidi="ar-SA"/>
        </w:rPr>
        <w:t>Sous-titrage et l'Audiodescription - article 20</w:t>
      </w:r>
    </w:p>
    <w:p>
      <w:pPr>
        <w:pStyle w:val="En-tte"/>
        <w:numPr>
          <w:ilvl w:val="0"/>
          <w:numId w:val="37"/>
        </w:numPr>
        <w:tabs>
          <w:tab w:val="left" w:pos="360" w:leader="none"/>
          <w:tab w:val="left" w:pos="720" w:leader="none"/>
          <w:tab w:val="center" w:pos="4536" w:leader="none"/>
          <w:tab w:val="right" w:pos="9072" w:leader="none"/>
          <w:tab w:val="left" w:pos="9498" w:leader="none"/>
        </w:tabs>
        <w:ind w:left="360" w:right="567" w:hanging="0"/>
        <w:jc w:val="both"/>
        <w:rPr/>
      </w:pPr>
      <w:r>
        <w:rPr>
          <w:rFonts w:cs="Arial"/>
          <w:color w:val="3C3C3C"/>
          <w:sz w:val="21"/>
          <w:szCs w:val="21"/>
          <w:shd w:fill="FFFFFF" w:val="clear"/>
        </w:rPr>
        <w:t>Activation du sous-titrage en français dans les lieux publics collectifs sur les téléviseurs équipés.</w:t>
      </w:r>
      <w:r>
        <w:rPr>
          <w:rFonts w:cs="Arial"/>
          <w:color w:val="3C3C3C"/>
          <w:sz w:val="21"/>
          <w:szCs w:val="21"/>
        </w:rPr>
        <w:br/>
      </w:r>
      <w:r>
        <w:rPr>
          <w:rFonts w:cs="Arial"/>
          <w:color w:val="3C3C3C"/>
          <w:sz w:val="21"/>
          <w:szCs w:val="21"/>
          <w:shd w:fill="FFFFFF" w:val="clear"/>
        </w:rPr>
        <w:t>- présence de notice simplifiée dans les lieux publics privatifs tels que les chambres d'hôtel, pour l’activation du sous-titrage et l'Audiodescription.</w:t>
      </w: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Web"/>
        <w:rPr>
          <w:sz w:val="16"/>
          <w:szCs w:val="16"/>
        </w:rPr>
      </w:pPr>
      <w:r>
        <w:rPr>
          <w:sz w:val="16"/>
          <w:szCs w:val="16"/>
        </w:rPr>
      </w:r>
    </w:p>
    <w:p>
      <w:pPr>
        <w:pStyle w:val="NormalWeb"/>
        <w:numPr>
          <w:ilvl w:val="0"/>
          <w:numId w:val="51"/>
        </w:numPr>
        <w:rPr/>
      </w:pPr>
      <w:r>
        <w:rPr>
          <w:rFonts w:eastAsia="Times New Roman" w:cs="Arial Unicode MS"/>
          <w:color w:val="127622" w:themeShade="80"/>
          <w:kern w:val="0"/>
          <w:sz w:val="28"/>
          <w:szCs w:val="22"/>
          <w:lang w:val="fr-FR" w:eastAsia="zh-CN" w:bidi="ar-SA"/>
        </w:rPr>
        <w:t>Information et signalisation – annexe 3</w:t>
      </w:r>
    </w:p>
    <w:p>
      <w:pPr>
        <w:pStyle w:val="En-tte"/>
        <w:numPr>
          <w:ilvl w:val="0"/>
          <w:numId w:val="53"/>
        </w:numPr>
        <w:tabs>
          <w:tab w:val="left" w:pos="360" w:leader="none"/>
          <w:tab w:val="left" w:pos="720" w:leader="none"/>
          <w:tab w:val="center" w:pos="4536" w:leader="none"/>
          <w:tab w:val="right" w:pos="9072" w:leader="none"/>
          <w:tab w:val="left" w:pos="9498" w:leader="none"/>
        </w:tabs>
        <w:ind w:left="426" w:right="567" w:hanging="360"/>
        <w:jc w:val="both"/>
        <w:rPr/>
      </w:pPr>
      <w:r>
        <w:rPr>
          <w:rFonts w:cs="Arial"/>
          <w:color w:val="3C3C3C"/>
          <w:sz w:val="21"/>
          <w:szCs w:val="21"/>
          <w:shd w:fill="FFFFFF" w:val="clear"/>
        </w:rPr>
        <w:t>Informations permanentes fournies par le moyen d'une signalisation visuelle ou sonore, pouvant être reçues et interprétées par un visiteur handicapé.</w:t>
      </w:r>
    </w:p>
    <w:p>
      <w:pPr>
        <w:pStyle w:val="En-tte"/>
        <w:numPr>
          <w:ilvl w:val="0"/>
          <w:numId w:val="53"/>
        </w:numPr>
        <w:tabs>
          <w:tab w:val="left" w:pos="360" w:leader="none"/>
          <w:tab w:val="left" w:pos="720" w:leader="none"/>
          <w:tab w:val="center" w:pos="4536" w:leader="none"/>
          <w:tab w:val="right" w:pos="9072" w:leader="none"/>
          <w:tab w:val="left" w:pos="9498" w:leader="none"/>
        </w:tabs>
        <w:ind w:left="426" w:right="567" w:hanging="360"/>
        <w:jc w:val="both"/>
        <w:rPr/>
      </w:pPr>
      <w:r>
        <w:rPr>
          <w:rFonts w:cs="Arial"/>
          <w:color w:val="3C3C3C"/>
          <w:sz w:val="21"/>
          <w:szCs w:val="21"/>
          <w:shd w:fill="FFFFFF" w:val="clear"/>
        </w:rPr>
        <w:t xml:space="preserve">Eléments d'information et de signalisation sont visibles et lisibles par tous les usagers et constituent une chaîne continue d'information tout le long du cheminement. </w:t>
      </w:r>
    </w:p>
    <w:p>
      <w:pPr>
        <w:pStyle w:val="En-tte"/>
        <w:numPr>
          <w:ilvl w:val="0"/>
          <w:numId w:val="53"/>
        </w:numPr>
        <w:tabs>
          <w:tab w:val="left" w:pos="360" w:leader="none"/>
          <w:tab w:val="left" w:pos="720" w:leader="none"/>
          <w:tab w:val="center" w:pos="4536" w:leader="none"/>
          <w:tab w:val="right" w:pos="9072" w:leader="none"/>
          <w:tab w:val="left" w:pos="9498" w:leader="none"/>
        </w:tabs>
        <w:ind w:left="426" w:right="567" w:hanging="360"/>
        <w:jc w:val="both"/>
        <w:rPr/>
      </w:pPr>
      <w:r>
        <w:rPr>
          <w:rFonts w:cs="Arial"/>
          <w:color w:val="3C3C3C"/>
          <w:sz w:val="21"/>
          <w:szCs w:val="21"/>
          <w:shd w:fill="FFFFFF" w:val="clear"/>
        </w:rPr>
        <w:t xml:space="preserve">Informations visibles, lisibles et compréhensibles par tous (distance de lecture, localisation, </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rHeight w:val="2195" w:hRule="atLeast"/>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jc w:val="both"/>
              <w:rPr>
                <w:rFonts w:cs="Arial"/>
              </w:rPr>
            </w:pPr>
            <w:r>
              <w:rPr>
                <w:rFonts w:cs="Arial"/>
              </w:rPr>
            </w:r>
          </w:p>
        </w:tc>
      </w:tr>
    </w:tbl>
    <w:p>
      <w:pPr>
        <w:pStyle w:val="NormalWeb"/>
        <w:rPr>
          <w:sz w:val="16"/>
          <w:szCs w:val="16"/>
        </w:rPr>
      </w:pPr>
      <w:r>
        <w:rPr>
          <w:sz w:val="16"/>
          <w:szCs w:val="16"/>
        </w:rPr>
      </w:r>
    </w:p>
    <w:p>
      <w:pPr>
        <w:pStyle w:val="NormalWeb"/>
        <w:numPr>
          <w:ilvl w:val="0"/>
          <w:numId w:val="51"/>
        </w:numPr>
        <w:rPr/>
      </w:pPr>
      <w:r>
        <w:rPr>
          <w:rFonts w:eastAsia="Times New Roman" w:cs="Arial Unicode MS"/>
          <w:color w:val="127622" w:themeShade="80"/>
          <w:kern w:val="0"/>
          <w:sz w:val="28"/>
          <w:szCs w:val="22"/>
          <w:lang w:val="fr-FR" w:eastAsia="zh-CN" w:bidi="ar-SA"/>
        </w:rPr>
        <w:t xml:space="preserve">Registre Public d'accessibilité – </w:t>
      </w:r>
      <w:r>
        <w:rPr>
          <w:rStyle w:val="Strong"/>
          <w:rFonts w:eastAsia="Times New Roman" w:cs="Arial Unicode MS" w:ascii="Arial" w:hAnsi="Arial"/>
          <w:b w:val="false"/>
          <w:bCs w:val="false"/>
          <w:color w:val="127622" w:themeShade="80"/>
          <w:kern w:val="0"/>
          <w:sz w:val="24"/>
          <w:szCs w:val="24"/>
          <w:lang w:val="fr-FR" w:eastAsia="zh-CN" w:bidi="ar-SA"/>
        </w:rPr>
        <w:t>article R.164-6 du CCH</w:t>
      </w:r>
    </w:p>
    <w:p>
      <w:pPr>
        <w:pStyle w:val="NormalWeb"/>
        <w:jc w:val="both"/>
        <w:rPr/>
      </w:pPr>
      <w:r>
        <w:rPr>
          <w:rStyle w:val="Strong"/>
          <w:rFonts w:ascii="Arial" w:hAnsi="Arial"/>
          <w:b w:val="false"/>
          <w:bCs w:val="false"/>
          <w:sz w:val="21"/>
          <w:szCs w:val="21"/>
          <w:lang w:val="fr-FR" w:eastAsia="zh-CN" w:bidi="ar-SA"/>
        </w:rPr>
        <w:t>Un guide d'aide à la constitution de ce registre est téléchargeable sur le site du ministère de la Transition écologique :</w:t>
      </w:r>
    </w:p>
    <w:p>
      <w:pPr>
        <w:pStyle w:val="NormalWeb"/>
        <w:jc w:val="both"/>
        <w:rPr/>
      </w:pPr>
      <w:r>
        <w:fldChar w:fldCharType="begin"/>
      </w:r>
      <w:r>
        <w:rPr>
          <w:rStyle w:val="LienInternet"/>
          <w:sz w:val="21"/>
          <w:szCs w:val="21"/>
          <w:rFonts w:cs="Arial"/>
        </w:rPr>
        <w:instrText xml:space="preserve"> HYPERLINK "https://www.ecologie.gouv.fr/laccessibilite-des-etablissements-recevant-du-public-erp" \l "scroll-nav__6"</w:instrText>
      </w:r>
      <w:r>
        <w:rPr>
          <w:rStyle w:val="LienInternet"/>
          <w:sz w:val="21"/>
          <w:szCs w:val="21"/>
          <w:rFonts w:cs="Arial"/>
        </w:rPr>
        <w:fldChar w:fldCharType="separate"/>
      </w:r>
      <w:r>
        <w:rPr>
          <w:rStyle w:val="LienInternet"/>
          <w:rFonts w:cs="Arial"/>
          <w:sz w:val="21"/>
          <w:szCs w:val="21"/>
        </w:rPr>
        <w:t>https://www.ecologie.gouv.fr/laccessibilite-des-etablissements-recevant-du-public-erp#scroll-nav__6</w:t>
      </w:r>
      <w:r>
        <w:rPr>
          <w:rStyle w:val="LienInternet"/>
          <w:sz w:val="21"/>
          <w:szCs w:val="21"/>
          <w:rFonts w:cs="Arial"/>
        </w:rPr>
        <w:fldChar w:fldCharType="end"/>
      </w:r>
      <w:r>
        <w:rPr>
          <w:sz w:val="21"/>
          <w:szCs w:val="21"/>
        </w:rPr>
        <w:t xml:space="preserve"> </w:t>
      </w:r>
    </w:p>
    <w:p>
      <w:pPr>
        <w:pStyle w:val="NormalWeb"/>
        <w:jc w:val="both"/>
        <w:rPr>
          <w:sz w:val="21"/>
          <w:szCs w:val="21"/>
        </w:rPr>
      </w:pPr>
      <w:r>
        <w:rPr>
          <w:sz w:val="21"/>
          <w:szCs w:val="21"/>
        </w:rPr>
        <w:t xml:space="preserve">Onglet Le registre public d'accessibilité </w:t>
      </w:r>
    </w:p>
    <w:p>
      <w:pPr>
        <w:pStyle w:val="Contenudetableau"/>
        <w:widowControl w:val="false"/>
        <w:pBdr>
          <w:top w:val="single" w:sz="2" w:space="1" w:color="000000"/>
          <w:left w:val="single" w:sz="2" w:space="1" w:color="000000"/>
          <w:bottom w:val="single" w:sz="2" w:space="1" w:color="000000"/>
          <w:right w:val="single" w:sz="2" w:space="1" w:color="000000"/>
        </w:pBdr>
        <w:jc w:val="both"/>
        <w:rPr>
          <w:rFonts w:cs="Arial"/>
        </w:rPr>
      </w:pPr>
      <w:r>
        <w:rPr>
          <w:rFonts w:cs="Arial"/>
        </w:rPr>
      </w:r>
    </w:p>
    <w:p>
      <w:pPr>
        <w:pStyle w:val="Contenudetableau"/>
        <w:widowControl w:val="false"/>
        <w:pBdr>
          <w:top w:val="single" w:sz="2" w:space="1" w:color="000000"/>
          <w:left w:val="single" w:sz="2" w:space="1" w:color="000000"/>
          <w:bottom w:val="single" w:sz="2" w:space="1" w:color="000000"/>
          <w:right w:val="single" w:sz="2" w:space="1" w:color="000000"/>
        </w:pBdr>
        <w:jc w:val="both"/>
        <w:rPr>
          <w:rFonts w:cs="Arial"/>
        </w:rPr>
      </w:pPr>
      <w:r>
        <w:rPr>
          <w:rFonts w:cs="Arial"/>
        </w:rPr>
      </w:r>
    </w:p>
    <w:p>
      <w:pPr>
        <w:pStyle w:val="Contenudetableau"/>
        <w:widowControl w:val="false"/>
        <w:pBdr>
          <w:top w:val="single" w:sz="2" w:space="1" w:color="000000"/>
          <w:left w:val="single" w:sz="2" w:space="1" w:color="000000"/>
          <w:bottom w:val="single" w:sz="2" w:space="1" w:color="000000"/>
          <w:right w:val="single" w:sz="2" w:space="1" w:color="000000"/>
        </w:pBdr>
        <w:jc w:val="both"/>
        <w:rPr>
          <w:rFonts w:cs="Arial"/>
        </w:rPr>
      </w:pPr>
      <w:r>
        <w:rPr>
          <w:rFonts w:cs="Arial"/>
        </w:rPr>
      </w:r>
    </w:p>
    <w:p>
      <w:pPr>
        <w:pStyle w:val="Contenudetableau"/>
        <w:widowControl w:val="false"/>
        <w:pBdr>
          <w:top w:val="single" w:sz="2" w:space="1" w:color="000000"/>
          <w:left w:val="single" w:sz="2" w:space="1" w:color="000000"/>
          <w:bottom w:val="single" w:sz="2" w:space="1" w:color="000000"/>
          <w:right w:val="single" w:sz="2" w:space="1" w:color="000000"/>
        </w:pBdr>
        <w:jc w:val="both"/>
        <w:rPr>
          <w:rFonts w:cs="Arial"/>
        </w:rPr>
      </w:pPr>
      <w:r>
        <w:rPr>
          <w:rFonts w:cs="Arial"/>
        </w:rPr>
      </w:r>
    </w:p>
    <w:p>
      <w:pPr>
        <w:pStyle w:val="Contenudetableau"/>
        <w:widowControl w:val="false"/>
        <w:pBdr>
          <w:top w:val="single" w:sz="2" w:space="1" w:color="000000"/>
          <w:left w:val="single" w:sz="2" w:space="1" w:color="000000"/>
          <w:bottom w:val="single" w:sz="2" w:space="1" w:color="000000"/>
          <w:right w:val="single" w:sz="2" w:space="1" w:color="000000"/>
        </w:pBdr>
        <w:jc w:val="both"/>
        <w:rPr>
          <w:rFonts w:cs="Arial"/>
        </w:rPr>
      </w:pPr>
      <w:r>
        <w:rPr>
          <w:rFonts w:cs="Arial"/>
        </w:rPr>
      </w:r>
      <w:r>
        <w:br w:type="page"/>
      </w:r>
    </w:p>
    <w:p>
      <w:pPr>
        <w:pStyle w:val="Xl29"/>
        <w:tabs>
          <w:tab w:val="clear" w:pos="709"/>
          <w:tab w:val="right" w:pos="8509" w:leader="none"/>
          <w:tab w:val="right" w:pos="9354" w:leader="none"/>
          <w:tab w:val="right" w:pos="9638" w:leader="none"/>
        </w:tabs>
        <w:rPr>
          <w:rFonts w:ascii="Arial" w:hAnsi="Arial" w:eastAsia="Arial Unicode MS" w:cs="Arial"/>
          <w:b/>
          <w:bCs/>
          <w:color w:val="1F4E79" w:themeColor="accent1" w:themeShade="80"/>
          <w:kern w:val="0"/>
          <w:sz w:val="32"/>
          <w:szCs w:val="18"/>
          <w:highlight w:val="none"/>
          <w:shd w:fill="DDDDDD" w:val="clear"/>
          <w:lang w:val="fr-FR" w:eastAsia="zh-CN" w:bidi="ar-SA"/>
        </w:rPr>
      </w:pPr>
      <w:r>
        <w:rPr>
          <w:rFonts w:eastAsia="Arial Unicode MS" w:cs="Arial"/>
          <w:b/>
          <w:bCs/>
          <w:color w:val="1F4E79" w:themeColor="accent1" w:themeShade="80"/>
          <w:kern w:val="0"/>
          <w:sz w:val="32"/>
          <w:szCs w:val="18"/>
          <w:shd w:fill="DDDDDD" w:val="clear"/>
          <w:lang w:val="fr-FR" w:eastAsia="zh-CN" w:bidi="ar-SA"/>
        </w:rPr>
        <w:t xml:space="preserve">7. DEMANDE ÉVENTUELLE DE DÉROGATION </w:t>
        <w:tab/>
        <w:tab/>
      </w:r>
    </w:p>
    <w:p>
      <w:pPr>
        <w:pStyle w:val="NormalWeb"/>
        <w:jc w:val="both"/>
        <w:rPr/>
      </w:pPr>
      <w:r>
        <w:rPr>
          <w:rFonts w:eastAsia="Times New Roman"/>
          <w:sz w:val="24"/>
          <w:szCs w:val="24"/>
        </w:rPr>
        <w:t xml:space="preserve">Mise en garde : </w:t>
      </w:r>
      <w:r>
        <w:rPr>
          <w:rFonts w:eastAsia="Times New Roman"/>
          <w:b w:val="false"/>
          <w:bCs w:val="false"/>
          <w:sz w:val="24"/>
          <w:szCs w:val="24"/>
        </w:rPr>
        <w:t>l'octroi d'une dérogation ne dispense pas le demandeur de respecter l'ensemble des règles non dérogées</w:t>
      </w:r>
    </w:p>
    <w:p>
      <w:pPr>
        <w:pStyle w:val="Normal"/>
        <w:tabs>
          <w:tab w:val="clear" w:pos="709"/>
          <w:tab w:val="left" w:pos="9498" w:leader="none"/>
        </w:tabs>
        <w:ind w:right="567" w:hanging="0"/>
        <w:jc w:val="both"/>
        <w:rPr>
          <w:rFonts w:cs="Arial"/>
          <w:b/>
          <w:bCs/>
          <w:sz w:val="16"/>
          <w:szCs w:val="16"/>
        </w:rPr>
      </w:pPr>
      <w:r>
        <w:rPr>
          <w:rFonts w:cs="Arial"/>
          <w:b/>
          <w:bCs/>
          <w:sz w:val="16"/>
          <w:szCs w:val="16"/>
        </w:rPr>
      </w:r>
    </w:p>
    <w:p>
      <w:pPr>
        <w:pStyle w:val="Normal"/>
        <w:tabs>
          <w:tab w:val="clear" w:pos="709"/>
          <w:tab w:val="left" w:pos="9498" w:leader="none"/>
        </w:tabs>
        <w:ind w:right="567" w:hanging="0"/>
        <w:jc w:val="both"/>
        <w:rPr/>
      </w:pPr>
      <w:r>
        <w:rPr>
          <w:rFonts w:cs="Arial"/>
          <w:b/>
          <w:bCs/>
          <w:sz w:val="28"/>
          <w:szCs w:val="28"/>
        </w:rPr>
        <w:t>Règles à déroger</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En-tte"/>
        <w:tabs>
          <w:tab w:val="center" w:pos="4536" w:leader="none"/>
          <w:tab w:val="right" w:pos="9072" w:leader="none"/>
          <w:tab w:val="left" w:pos="9498" w:leader="none"/>
        </w:tabs>
        <w:ind w:left="142" w:right="567" w:hanging="142"/>
        <w:jc w:val="both"/>
        <w:rPr>
          <w:rFonts w:cs="Arial"/>
        </w:rPr>
      </w:pPr>
      <w:r>
        <w:rPr>
          <w:rFonts w:cs="Arial"/>
        </w:rPr>
      </w:r>
    </w:p>
    <w:p>
      <w:pPr>
        <w:pStyle w:val="Normal"/>
        <w:tabs>
          <w:tab w:val="clear" w:pos="709"/>
          <w:tab w:val="left" w:pos="9498" w:leader="none"/>
        </w:tabs>
        <w:ind w:right="567" w:hanging="0"/>
        <w:jc w:val="both"/>
        <w:rPr/>
      </w:pPr>
      <w:r>
        <w:rPr>
          <w:rFonts w:cs="Arial"/>
          <w:b/>
          <w:bCs/>
          <w:sz w:val="28"/>
          <w:szCs w:val="28"/>
        </w:rPr>
        <w:t>Éléments du projet auxquels s'appliquent ces dérogations</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En-tte"/>
        <w:tabs>
          <w:tab w:val="center" w:pos="4536" w:leader="none"/>
          <w:tab w:val="right" w:pos="9072" w:leader="none"/>
          <w:tab w:val="left" w:pos="9498" w:leader="none"/>
        </w:tabs>
        <w:ind w:left="142" w:right="567" w:hanging="142"/>
        <w:jc w:val="both"/>
        <w:rPr>
          <w:rFonts w:cs="Arial"/>
        </w:rPr>
      </w:pPr>
      <w:r>
        <w:rPr>
          <w:rFonts w:cs="Arial"/>
        </w:rPr>
      </w:r>
    </w:p>
    <w:p>
      <w:pPr>
        <w:pStyle w:val="Normal"/>
        <w:tabs>
          <w:tab w:val="clear" w:pos="709"/>
          <w:tab w:val="left" w:pos="9498" w:leader="none"/>
        </w:tabs>
        <w:ind w:right="567" w:hanging="0"/>
        <w:jc w:val="both"/>
        <w:rPr/>
      </w:pPr>
      <w:r>
        <w:rPr>
          <w:rFonts w:cs="Arial"/>
          <w:b/>
          <w:bCs/>
          <w:sz w:val="28"/>
          <w:szCs w:val="28"/>
        </w:rPr>
        <w:t>Justifications de chaque demande</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En-tte"/>
        <w:tabs>
          <w:tab w:val="center" w:pos="4536" w:leader="none"/>
          <w:tab w:val="right" w:pos="9072" w:leader="none"/>
          <w:tab w:val="left" w:pos="9498" w:leader="none"/>
        </w:tabs>
        <w:ind w:left="142" w:right="567" w:hanging="142"/>
        <w:jc w:val="both"/>
        <w:rPr>
          <w:rFonts w:cs="Arial"/>
        </w:rPr>
      </w:pPr>
      <w:r>
        <w:rPr>
          <w:rFonts w:cs="Arial"/>
        </w:rPr>
      </w:r>
    </w:p>
    <w:p>
      <w:pPr>
        <w:pStyle w:val="Normal"/>
        <w:tabs>
          <w:tab w:val="clear" w:pos="709"/>
          <w:tab w:val="left" w:pos="9498" w:leader="none"/>
        </w:tabs>
        <w:ind w:right="567" w:hanging="0"/>
        <w:jc w:val="both"/>
        <w:rPr/>
      </w:pPr>
      <w:r>
        <w:rPr>
          <w:rFonts w:cs="Arial"/>
          <w:b/>
          <w:bCs/>
          <w:sz w:val="28"/>
          <w:szCs w:val="28"/>
        </w:rPr>
        <w:t>Mesures de substitution proposées : si mission de service public, les mesures de substitution sont obligatoires.</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En-tte"/>
        <w:tabs>
          <w:tab w:val="center" w:pos="4536" w:leader="none"/>
          <w:tab w:val="right" w:pos="9072" w:leader="none"/>
          <w:tab w:val="left" w:pos="9498" w:leader="none"/>
        </w:tabs>
        <w:ind w:left="142" w:right="567" w:hanging="142"/>
        <w:jc w:val="both"/>
        <w:rPr>
          <w:rFonts w:eastAsia="Arial Unicode MS" w:cs="Arial"/>
          <w:b/>
          <w:bCs/>
          <w:sz w:val="18"/>
          <w:szCs w:val="18"/>
        </w:rPr>
      </w:pPr>
      <w:r>
        <w:rPr>
          <w:rFonts w:eastAsia="Arial Unicode MS" w:cs="Arial"/>
          <w:b/>
          <w:bCs/>
          <w:sz w:val="18"/>
          <w:szCs w:val="18"/>
        </w:rPr>
      </w:r>
    </w:p>
    <w:p>
      <w:pPr>
        <w:pStyle w:val="Normal"/>
        <w:tabs>
          <w:tab w:val="clear" w:pos="709"/>
          <w:tab w:val="left" w:pos="9498" w:leader="none"/>
        </w:tabs>
        <w:ind w:right="567" w:hanging="0"/>
        <w:jc w:val="both"/>
        <w:rPr/>
      </w:pPr>
      <w:r>
        <w:rPr>
          <w:rFonts w:cs="Arial"/>
          <w:i/>
          <w:iCs/>
        </w:rPr>
        <w:t>Date et signature du demandeur</w:t>
      </w:r>
    </w:p>
    <w:sectPr>
      <w:footerReference w:type="default" r:id="rId31"/>
      <w:type w:val="nextPage"/>
      <w:pgSz w:w="11906" w:h="16838"/>
      <w:pgMar w:left="1701" w:right="709" w:gutter="0" w:header="0" w:top="1276" w:footer="356" w:bottom="851"/>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Arial Unicode MS">
    <w:charset w:val="00"/>
    <w:family w:val="roman"/>
    <w:pitch w:val="variable"/>
  </w:font>
  <w:font w:name="Arial Narrow">
    <w:charset w:val="00"/>
    <w:family w:val="roman"/>
    <w:pitch w:val="variable"/>
  </w:font>
  <w:font w:name="Mangal">
    <w:charset w:val="00"/>
    <w:family w:val="roman"/>
    <w:pitch w:val="variable"/>
  </w:font>
  <w:font w:name="Marianne">
    <w:charset w:val="00"/>
    <w:family w:val="roman"/>
    <w:pitch w:val="variable"/>
  </w:font>
  <w:font w:name="Arial">
    <w:charset w:val="01"/>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i/>
        <w:i/>
        <w:iCs/>
        <w:sz w:val="22"/>
        <w:szCs w:val="22"/>
      </w:rPr>
    </w:pPr>
    <w:r>
      <w:rPr>
        <w:i/>
        <w:iCs/>
        <w:sz w:val="22"/>
        <w:szCs w:val="22"/>
      </w:rPr>
    </w:r>
  </w:p>
  <w:tbl>
    <w:tblPr>
      <w:tblW w:w="9510" w:type="dxa"/>
      <w:jc w:val="left"/>
      <w:tblInd w:w="-5" w:type="dxa"/>
      <w:tblLayout w:type="fixed"/>
      <w:tblCellMar>
        <w:top w:w="55" w:type="dxa"/>
        <w:left w:w="48" w:type="dxa"/>
        <w:bottom w:w="55" w:type="dxa"/>
        <w:right w:w="55" w:type="dxa"/>
      </w:tblCellMar>
      <w:tblLook w:firstRow="1" w:noVBand="1" w:lastRow="0" w:firstColumn="1" w:lastColumn="0" w:noHBand="0" w:val="04a0"/>
    </w:tblPr>
    <w:tblGrid>
      <w:gridCol w:w="9510"/>
    </w:tblGrid>
    <w:tr>
      <w:trPr>
        <w:trHeight w:val="268" w:hRule="atLeast"/>
      </w:trPr>
      <w:tc>
        <w:tcPr>
          <w:tcW w:w="9510" w:type="dxa"/>
          <w:tcBorders>
            <w:top w:val="single" w:sz="2" w:space="0" w:color="000001"/>
            <w:left w:val="single" w:sz="2" w:space="0" w:color="000001"/>
            <w:bottom w:val="single" w:sz="2" w:space="0" w:color="000001"/>
            <w:right w:val="single" w:sz="2" w:space="0" w:color="000001"/>
          </w:tcBorders>
          <w:shd w:fill="auto" w:val="clear"/>
        </w:tcPr>
        <w:p>
          <w:pPr>
            <w:pStyle w:val="Pieddepagedroit"/>
            <w:widowControl w:val="false"/>
            <w:rPr>
              <w:rStyle w:val="Pagenumber"/>
              <w:rFonts w:cs="Arial"/>
            </w:rPr>
          </w:pPr>
          <w:r>
            <w:rPr>
              <w:rStyle w:val="Pagenumber"/>
              <w:rFonts w:cs="Arial"/>
              <w:sz w:val="16"/>
              <w:szCs w:val="24"/>
            </w:rPr>
            <w:t xml:space="preserve">DDT du Doubs – SHCV/UBE Accessibilité                                     Notice d’accessibilité – Version avril 2024 - page  </w:t>
          </w:r>
          <w:r>
            <w:rPr/>
            <w:fldChar w:fldCharType="begin"/>
          </w:r>
          <w:r>
            <w:rPr/>
            <w:instrText xml:space="preserve"> PAGE </w:instrText>
          </w:r>
          <w:r>
            <w:rPr/>
            <w:fldChar w:fldCharType="separate"/>
          </w:r>
          <w:r>
            <w:rPr/>
            <w:t>14</w:t>
          </w:r>
          <w:r>
            <w:rPr/>
            <w:fldChar w:fldCharType="end"/>
          </w:r>
          <w:r>
            <w:rPr>
              <w:rStyle w:val="LienInternet"/>
              <w:rFonts w:cs="Arial"/>
              <w:color w:val="00000A"/>
              <w:sz w:val="16"/>
              <w:szCs w:val="16"/>
              <w:u w:val="none"/>
            </w:rPr>
            <w:t xml:space="preserve"> / </w:t>
          </w:r>
          <w:r>
            <w:rPr/>
            <w:fldChar w:fldCharType="begin"/>
          </w:r>
          <w:r>
            <w:rPr/>
            <w:instrText xml:space="preserve"> NUMPAGES </w:instrText>
          </w:r>
          <w:r>
            <w:rPr/>
            <w:fldChar w:fldCharType="separate"/>
          </w:r>
          <w:r>
            <w:rPr/>
            <w:t>14</w:t>
          </w:r>
          <w:r>
            <w:rPr/>
            <w:fldChar w:fldCharType="end"/>
          </w:r>
        </w:p>
      </w:tc>
    </w:tr>
  </w:tbl>
  <w:p>
    <w:pPr>
      <w:pStyle w:val="Pieddepagedroi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rFonts w:cs="Symbol"/>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0" w:hanging="0"/>
      </w:pPr>
      <w:rPr>
        <w:rFonts w:ascii="Times New Roman" w:hAnsi="Times New Roman" w:cs="Times New Roman" w:hint="default"/>
        <w:szCs w:val="22"/>
      </w:rPr>
    </w:lvl>
    <w:lvl w:ilvl="1">
      <w:start w:val="1"/>
      <w:numFmt w:val="none"/>
      <w:suff w:val="nothing"/>
      <w:lvlText w:val=""/>
      <w:lvlJc w:val="left"/>
      <w:pPr>
        <w:tabs>
          <w:tab w:val="num" w:pos="0"/>
        </w:tabs>
        <w:ind w:left="1080" w:hanging="0"/>
      </w:pPr>
      <w:rPr/>
    </w:lvl>
    <w:lvl w:ilvl="2">
      <w:start w:val="1"/>
      <w:numFmt w:val="none"/>
      <w:suff w:val="nothing"/>
      <w:lvlText w:val=""/>
      <w:lvlJc w:val="left"/>
      <w:pPr>
        <w:tabs>
          <w:tab w:val="num" w:pos="0"/>
        </w:tabs>
        <w:ind w:left="1440" w:hanging="0"/>
      </w:pPr>
      <w:rPr/>
    </w:lvl>
    <w:lvl w:ilvl="3">
      <w:start w:val="1"/>
      <w:numFmt w:val="none"/>
      <w:suff w:val="nothing"/>
      <w:lvlText w:val=""/>
      <w:lvlJc w:val="left"/>
      <w:pPr>
        <w:tabs>
          <w:tab w:val="num" w:pos="0"/>
        </w:tabs>
        <w:ind w:left="1800" w:hanging="0"/>
      </w:pPr>
      <w:rPr/>
    </w:lvl>
    <w:lvl w:ilvl="4">
      <w:start w:val="1"/>
      <w:numFmt w:val="none"/>
      <w:suff w:val="nothing"/>
      <w:lvlText w:val=""/>
      <w:lvlJc w:val="left"/>
      <w:pPr>
        <w:tabs>
          <w:tab w:val="num" w:pos="0"/>
        </w:tabs>
        <w:ind w:left="2160" w:hanging="0"/>
      </w:pPr>
      <w:rPr/>
    </w:lvl>
    <w:lvl w:ilvl="5">
      <w:start w:val="1"/>
      <w:numFmt w:val="none"/>
      <w:suff w:val="nothing"/>
      <w:lvlText w:val=""/>
      <w:lvlJc w:val="left"/>
      <w:pPr>
        <w:tabs>
          <w:tab w:val="num" w:pos="0"/>
        </w:tabs>
        <w:ind w:left="2520" w:hanging="0"/>
      </w:pPr>
      <w:rPr/>
    </w:lvl>
    <w:lvl w:ilvl="6">
      <w:start w:val="1"/>
      <w:numFmt w:val="none"/>
      <w:suff w:val="nothing"/>
      <w:lvlText w:val=""/>
      <w:lvlJc w:val="left"/>
      <w:pPr>
        <w:tabs>
          <w:tab w:val="num" w:pos="0"/>
        </w:tabs>
        <w:ind w:left="2880" w:hanging="0"/>
      </w:pPr>
      <w:rPr/>
    </w:lvl>
    <w:lvl w:ilvl="7">
      <w:start w:val="1"/>
      <w:numFmt w:val="none"/>
      <w:suff w:val="nothing"/>
      <w:lvlText w:val=""/>
      <w:lvlJc w:val="left"/>
      <w:pPr>
        <w:tabs>
          <w:tab w:val="num" w:pos="0"/>
        </w:tabs>
        <w:ind w:left="3240" w:hanging="0"/>
      </w:pPr>
      <w:rPr/>
    </w:lvl>
    <w:lvl w:ilvl="8">
      <w:start w:val="1"/>
      <w:numFmt w:val="none"/>
      <w:suff w:val="nothing"/>
      <w:lvlText w:val=""/>
      <w:lvlJc w:val="left"/>
      <w:pPr>
        <w:tabs>
          <w:tab w:val="num" w:pos="0"/>
        </w:tabs>
        <w:ind w:left="3600" w:hanging="0"/>
      </w:pPr>
      <w:rPr/>
    </w:lvl>
  </w:abstractNum>
  <w:abstractNum w:abstractNumId="3">
    <w:lvl w:ilvl="0">
      <w:start w:val="1"/>
      <w:numFmt w:val="bullet"/>
      <w:lvlText w:val="-"/>
      <w:lvlJc w:val="left"/>
      <w:pPr>
        <w:tabs>
          <w:tab w:val="num" w:pos="0"/>
        </w:tabs>
        <w:ind w:left="0" w:hanging="0"/>
      </w:pPr>
      <w:rPr>
        <w:rFonts w:ascii="Times New Roman" w:hAnsi="Times New Roman" w:cs="Times New Roman" w:hint="default"/>
        <w:szCs w:val="22"/>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4">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5">
    <w:lvl w:ilvl="0">
      <w:start w:val="1"/>
      <w:numFmt w:val="bullet"/>
      <w:lvlText w:val="-"/>
      <w:lvlJc w:val="left"/>
      <w:pPr>
        <w:tabs>
          <w:tab w:val="num" w:pos="0"/>
        </w:tabs>
        <w:ind w:left="0" w:hanging="0"/>
      </w:pPr>
      <w:rPr>
        <w:rFonts w:ascii="Times New Roman" w:hAnsi="Times New Roman" w:cs="Times New Roman" w:hint="default"/>
        <w:sz w:val="20"/>
        <w:szCs w:val="22"/>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6">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7">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8">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9">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10">
    <w:lvl w:ilvl="0">
      <w:start w:val="1"/>
      <w:numFmt w:val="bullet"/>
      <w:lvlText w:val="-"/>
      <w:lvlJc w:val="left"/>
      <w:pPr>
        <w:tabs>
          <w:tab w:val="num" w:pos="0"/>
        </w:tabs>
        <w:ind w:left="0" w:hanging="0"/>
      </w:pPr>
      <w:rPr>
        <w:rFonts w:ascii="Times New Roman" w:hAnsi="Times New Roman" w:cs="Times New Roman" w:hint="default"/>
        <w:szCs w:val="22"/>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11">
    <w:lvl w:ilvl="0">
      <w:start w:val="1"/>
      <w:numFmt w:val="bullet"/>
      <w:lvlText w:val="-"/>
      <w:lvlJc w:val="left"/>
      <w:pPr>
        <w:tabs>
          <w:tab w:val="num" w:pos="0"/>
        </w:tabs>
        <w:ind w:left="0" w:hanging="0"/>
      </w:pPr>
      <w:rPr>
        <w:rFonts w:ascii="Times New Roman" w:hAnsi="Times New Roman" w:cs="Times New Roman" w:hint="default"/>
        <w:sz w:val="20"/>
        <w:szCs w:val="22"/>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12">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13">
    <w:lvl w:ilvl="0">
      <w:start w:val="1"/>
      <w:numFmt w:val="bullet"/>
      <w:lvlText w:val="-"/>
      <w:lvlJc w:val="left"/>
      <w:pPr>
        <w:tabs>
          <w:tab w:val="num" w:pos="0"/>
        </w:tabs>
        <w:ind w:left="0" w:hanging="0"/>
      </w:pPr>
      <w:rPr>
        <w:rFonts w:ascii="Times New Roman" w:hAnsi="Times New Roman" w:cs="Times New Roman" w:hint="default"/>
        <w:color w:val="000000"/>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14">
    <w:lvl w:ilvl="0">
      <w:start w:val="1"/>
      <w:numFmt w:val="bullet"/>
      <w:lvlText w:val="-"/>
      <w:lvlJc w:val="left"/>
      <w:pPr>
        <w:tabs>
          <w:tab w:val="num" w:pos="0"/>
        </w:tabs>
        <w:ind w:left="0" w:hanging="0"/>
      </w:pPr>
      <w:rPr>
        <w:rFonts w:ascii="Times New Roman" w:hAnsi="Times New Roman" w:cs="Times New Roman" w:hint="default"/>
        <w:szCs w:val="22"/>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15">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sz w:val="24"/>
        <w:szCs w:val="30"/>
        <w:color w:val="000000"/>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sz w:val="30"/>
        <w:szCs w:val="30"/>
        <w:color w:val="000000"/>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sz w:val="30"/>
        <w:szCs w:val="30"/>
        <w:color w:val="000000"/>
      </w:rPr>
    </w:lvl>
  </w:abstractNum>
  <w:abstractNum w:abstractNumId="16">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17">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18">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19">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szCs w:val="22"/>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szCs w:val="22"/>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szCs w:val="22"/>
      </w:rPr>
    </w:lvl>
  </w:abstractNum>
  <w:abstractNum w:abstractNumId="20">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szCs w:val="22"/>
        <w:color w:val="000000"/>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szCs w:val="22"/>
        <w:color w:val="000000"/>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szCs w:val="22"/>
        <w:color w:val="000000"/>
      </w:rPr>
    </w:lvl>
  </w:abstractNum>
  <w:abstractNum w:abstractNumId="21">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sz w:val="24"/>
        <w:szCs w:val="22"/>
        <w:color w:val="000000"/>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sz w:val="26"/>
        <w:szCs w:val="22"/>
        <w:color w:val="000000"/>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sz w:val="26"/>
        <w:szCs w:val="22"/>
        <w:color w:val="000000"/>
      </w:rPr>
    </w:lvl>
  </w:abstractNum>
  <w:abstractNum w:abstractNumId="22">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23">
    <w:lvl w:ilvl="0">
      <w:start w:val="1"/>
      <w:numFmt w:val="bullet"/>
      <w:lvlText w:val="-"/>
      <w:lvlJc w:val="left"/>
      <w:pPr>
        <w:tabs>
          <w:tab w:val="num" w:pos="0"/>
        </w:tabs>
        <w:ind w:left="0" w:hanging="0"/>
      </w:pPr>
      <w:rPr>
        <w:rFonts w:ascii="Times New Roman" w:hAnsi="Times New Roman" w:cs="Times New Roman" w:hint="default"/>
        <w:sz w:val="20"/>
        <w:szCs w:val="22"/>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24">
    <w:lvl w:ilvl="0">
      <w:start w:val="1"/>
      <w:numFmt w:val="bullet"/>
      <w:lvlText w:val="-"/>
      <w:lvlJc w:val="left"/>
      <w:pPr>
        <w:tabs>
          <w:tab w:val="num" w:pos="0"/>
        </w:tabs>
        <w:ind w:left="0" w:hanging="0"/>
      </w:pPr>
      <w:rPr>
        <w:rFonts w:ascii="Times New Roman" w:hAnsi="Times New Roman" w:cs="Times New Roman" w:hint="default"/>
        <w:sz w:val="20"/>
        <w:szCs w:val="22"/>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25">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26">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27">
    <w:lvl w:ilvl="0">
      <w:start w:val="1"/>
      <w:numFmt w:val="bullet"/>
      <w:lvlText w:val="-"/>
      <w:lvlJc w:val="left"/>
      <w:pPr>
        <w:tabs>
          <w:tab w:val="num" w:pos="0"/>
        </w:tabs>
        <w:ind w:left="0" w:hanging="0"/>
      </w:pPr>
      <w:rPr>
        <w:rFonts w:ascii="Times New Roman" w:hAnsi="Times New Roman" w:cs="Times New Roman" w:hint="default"/>
        <w:sz w:val="24"/>
        <w:szCs w:val="24"/>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szCs w:val="22"/>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szCs w:val="22"/>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szCs w:val="22"/>
      </w:rPr>
    </w:lvl>
  </w:abstractNum>
  <w:abstractNum w:abstractNumId="28">
    <w:lvl w:ilvl="0">
      <w:start w:val="1"/>
      <w:numFmt w:val="bullet"/>
      <w:lvlText w:val="-"/>
      <w:lvlJc w:val="left"/>
      <w:pPr>
        <w:tabs>
          <w:tab w:val="num" w:pos="0"/>
        </w:tabs>
        <w:ind w:left="0" w:hanging="0"/>
      </w:pPr>
      <w:rPr>
        <w:rFonts w:ascii="Times New Roman" w:hAnsi="Times New Roman" w:cs="Times New Roman" w:hint="default"/>
        <w:b w:val="false"/>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szCs w:val="22"/>
        <w:color w:val="000000"/>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szCs w:val="22"/>
        <w:color w:val="000000"/>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szCs w:val="22"/>
        <w:color w:val="000000"/>
      </w:rPr>
    </w:lvl>
  </w:abstractNum>
  <w:abstractNum w:abstractNumId="29">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sz w:val="26"/>
        <w:szCs w:val="22"/>
        <w:color w:val="000000"/>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sz w:val="26"/>
        <w:szCs w:val="22"/>
        <w:color w:val="000000"/>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sz w:val="26"/>
        <w:szCs w:val="22"/>
        <w:color w:val="000000"/>
      </w:rPr>
    </w:lvl>
  </w:abstractNum>
  <w:abstractNum w:abstractNumId="30">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31">
    <w:lvl w:ilvl="0">
      <w:start w:val="1"/>
      <w:numFmt w:val="bullet"/>
      <w:lvlText w:val="-"/>
      <w:lvlJc w:val="left"/>
      <w:pPr>
        <w:tabs>
          <w:tab w:val="num" w:pos="0"/>
        </w:tabs>
        <w:ind w:left="0" w:hanging="0"/>
      </w:pPr>
      <w:rPr>
        <w:rFonts w:ascii="Times New Roman" w:hAnsi="Times New Roman" w:cs="Times New Roman" w:hint="default"/>
        <w:szCs w:val="22"/>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32">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33">
    <w:lvl w:ilvl="0">
      <w:start w:val="1"/>
      <w:numFmt w:val="bullet"/>
      <w:lvlText w:val="-"/>
      <w:lvlJc w:val="left"/>
      <w:pPr>
        <w:tabs>
          <w:tab w:val="num" w:pos="0"/>
        </w:tabs>
        <w:ind w:left="0" w:hanging="0"/>
      </w:pPr>
      <w:rPr>
        <w:rFonts w:ascii="Times New Roman" w:hAnsi="Times New Roman" w:cs="Times New Roman" w:hint="default"/>
        <w:color w:val="000000"/>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34">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35">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36">
    <w:lvl w:ilvl="0">
      <w:start w:val="1"/>
      <w:numFmt w:val="bullet"/>
      <w:lvlText w:val="-"/>
      <w:lvlJc w:val="left"/>
      <w:pPr>
        <w:tabs>
          <w:tab w:val="num" w:pos="0"/>
        </w:tabs>
        <w:ind w:left="0" w:hanging="0"/>
      </w:pPr>
      <w:rPr>
        <w:rFonts w:ascii="Times New Roman" w:hAnsi="Times New Roman" w:cs="Times New Roman" w:hint="default"/>
        <w:sz w:val="24"/>
        <w:szCs w:val="24"/>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37">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38">
    <w:lvl w:ilvl="0">
      <w:start w:val="1"/>
      <w:numFmt w:val="bullet"/>
      <w:lvlText w:val="-"/>
      <w:lvlJc w:val="left"/>
      <w:pPr>
        <w:tabs>
          <w:tab w:val="num" w:pos="0"/>
        </w:tabs>
        <w:ind w:left="0" w:hanging="0"/>
      </w:pPr>
      <w:rPr>
        <w:rFonts w:ascii="Times New Roman" w:hAnsi="Times New Roman" w:cs="Times New Roman" w:hint="default"/>
        <w:sz w:val="20"/>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39">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40">
    <w:lvl w:ilvl="0">
      <w:start w:val="1"/>
      <w:numFmt w:val="bullet"/>
      <w:lvlText w:val="-"/>
      <w:lvlJc w:val="left"/>
      <w:pPr>
        <w:tabs>
          <w:tab w:val="num" w:pos="0"/>
        </w:tabs>
        <w:ind w:left="0" w:hanging="0"/>
      </w:pPr>
      <w:rPr>
        <w:rFonts w:ascii="Times New Roman" w:hAnsi="Times New Roman" w:cs="Times New Roman" w:hint="default"/>
        <w:sz w:val="20"/>
        <w:szCs w:val="22"/>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41">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42">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43">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44">
    <w:lvl w:ilvl="0">
      <w:start w:val="1"/>
      <w:numFmt w:val="bullet"/>
      <w:lvlText w:val="-"/>
      <w:lvlJc w:val="left"/>
      <w:pPr>
        <w:tabs>
          <w:tab w:val="num" w:pos="0"/>
        </w:tabs>
        <w:ind w:left="0" w:hanging="0"/>
      </w:pPr>
      <w:rPr>
        <w:rFonts w:ascii="Times New Roman" w:hAnsi="Times New Roman" w:cs="Times New Roman" w:hint="default"/>
        <w:sz w:val="20"/>
        <w:szCs w:val="22"/>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45">
    <w:lvl w:ilvl="0">
      <w:start w:val="1"/>
      <w:numFmt w:val="bullet"/>
      <w:lvlText w:val=""/>
      <w:lvlJc w:val="left"/>
      <w:pPr>
        <w:tabs>
          <w:tab w:val="num" w:pos="360"/>
        </w:tabs>
        <w:ind w:left="360" w:hanging="360"/>
      </w:pPr>
      <w:rPr>
        <w:rFonts w:ascii="Symbol" w:hAnsi="Symbol" w:cs="Symbol" w:hint="default"/>
        <w:sz w:val="20"/>
        <w:szCs w:val="22"/>
        <w:color w:val="000000"/>
      </w:rPr>
    </w:lvl>
    <w:lvl w:ilvl="1">
      <w:start w:val="1"/>
      <w:numFmt w:val="none"/>
      <w:suff w:val="nothing"/>
      <w:lvlText w:val=""/>
      <w:lvlJc w:val="left"/>
      <w:pPr>
        <w:tabs>
          <w:tab w:val="num" w:pos="0"/>
        </w:tabs>
        <w:ind w:left="1080" w:hanging="0"/>
      </w:pPr>
      <w:rPr/>
    </w:lvl>
    <w:lvl w:ilvl="2">
      <w:start w:val="1"/>
      <w:numFmt w:val="none"/>
      <w:suff w:val="nothing"/>
      <w:lvlText w:val=""/>
      <w:lvlJc w:val="left"/>
      <w:pPr>
        <w:tabs>
          <w:tab w:val="num" w:pos="0"/>
        </w:tabs>
        <w:ind w:left="1440" w:hanging="0"/>
      </w:pPr>
      <w:rPr/>
    </w:lvl>
    <w:lvl w:ilvl="3">
      <w:start w:val="1"/>
      <w:numFmt w:val="none"/>
      <w:suff w:val="nothing"/>
      <w:lvlText w:val=""/>
      <w:lvlJc w:val="left"/>
      <w:pPr>
        <w:tabs>
          <w:tab w:val="num" w:pos="0"/>
        </w:tabs>
        <w:ind w:left="1800" w:hanging="0"/>
      </w:pPr>
      <w:rPr/>
    </w:lvl>
    <w:lvl w:ilvl="4">
      <w:start w:val="1"/>
      <w:numFmt w:val="none"/>
      <w:suff w:val="nothing"/>
      <w:lvlText w:val=""/>
      <w:lvlJc w:val="left"/>
      <w:pPr>
        <w:tabs>
          <w:tab w:val="num" w:pos="0"/>
        </w:tabs>
        <w:ind w:left="2160" w:hanging="0"/>
      </w:pPr>
      <w:rPr/>
    </w:lvl>
    <w:lvl w:ilvl="5">
      <w:start w:val="1"/>
      <w:numFmt w:val="none"/>
      <w:suff w:val="nothing"/>
      <w:lvlText w:val=""/>
      <w:lvlJc w:val="left"/>
      <w:pPr>
        <w:tabs>
          <w:tab w:val="num" w:pos="0"/>
        </w:tabs>
        <w:ind w:left="2520" w:hanging="0"/>
      </w:pPr>
      <w:rPr/>
    </w:lvl>
    <w:lvl w:ilvl="6">
      <w:start w:val="1"/>
      <w:numFmt w:val="none"/>
      <w:suff w:val="nothing"/>
      <w:lvlText w:val=""/>
      <w:lvlJc w:val="left"/>
      <w:pPr>
        <w:tabs>
          <w:tab w:val="num" w:pos="0"/>
        </w:tabs>
        <w:ind w:left="2880" w:hanging="0"/>
      </w:pPr>
      <w:rPr/>
    </w:lvl>
    <w:lvl w:ilvl="7">
      <w:start w:val="1"/>
      <w:numFmt w:val="none"/>
      <w:suff w:val="nothing"/>
      <w:lvlText w:val=""/>
      <w:lvlJc w:val="left"/>
      <w:pPr>
        <w:tabs>
          <w:tab w:val="num" w:pos="0"/>
        </w:tabs>
        <w:ind w:left="3240" w:hanging="0"/>
      </w:pPr>
      <w:rPr/>
    </w:lvl>
    <w:lvl w:ilvl="8">
      <w:start w:val="1"/>
      <w:numFmt w:val="none"/>
      <w:suff w:val="nothing"/>
      <w:lvlText w:val=""/>
      <w:lvlJc w:val="left"/>
      <w:pPr>
        <w:tabs>
          <w:tab w:val="num" w:pos="0"/>
        </w:tabs>
        <w:ind w:left="3600" w:hanging="0"/>
      </w:pPr>
      <w:rPr/>
    </w:lvl>
  </w:abstractNum>
  <w:abstractNum w:abstractNumId="46">
    <w:lvl w:ilvl="0">
      <w:start w:val="1"/>
      <w:numFmt w:val="bullet"/>
      <w:lvlText w:val=""/>
      <w:lvlJc w:val="left"/>
      <w:pPr>
        <w:tabs>
          <w:tab w:val="num" w:pos="360"/>
        </w:tabs>
        <w:ind w:left="360" w:hanging="360"/>
      </w:pPr>
      <w:rPr>
        <w:rFonts w:ascii="Symbol" w:hAnsi="Symbol" w:cs="Symbol" w:hint="default"/>
        <w:sz w:val="28"/>
        <w:b/>
        <w:szCs w:val="24"/>
        <w:color w:val="000000"/>
      </w:rPr>
    </w:lvl>
    <w:lvl w:ilvl="1">
      <w:start w:val="1"/>
      <w:numFmt w:val="none"/>
      <w:suff w:val="nothing"/>
      <w:lvlText w:val=""/>
      <w:lvlJc w:val="left"/>
      <w:pPr>
        <w:tabs>
          <w:tab w:val="num" w:pos="0"/>
        </w:tabs>
        <w:ind w:left="1080" w:hanging="0"/>
      </w:pPr>
      <w:rPr/>
    </w:lvl>
    <w:lvl w:ilvl="2">
      <w:start w:val="1"/>
      <w:numFmt w:val="none"/>
      <w:suff w:val="nothing"/>
      <w:lvlText w:val=""/>
      <w:lvlJc w:val="left"/>
      <w:pPr>
        <w:tabs>
          <w:tab w:val="num" w:pos="0"/>
        </w:tabs>
        <w:ind w:left="1440" w:hanging="0"/>
      </w:pPr>
      <w:rPr/>
    </w:lvl>
    <w:lvl w:ilvl="3">
      <w:start w:val="1"/>
      <w:numFmt w:val="none"/>
      <w:suff w:val="nothing"/>
      <w:lvlText w:val=""/>
      <w:lvlJc w:val="left"/>
      <w:pPr>
        <w:tabs>
          <w:tab w:val="num" w:pos="0"/>
        </w:tabs>
        <w:ind w:left="1800" w:hanging="0"/>
      </w:pPr>
      <w:rPr/>
    </w:lvl>
    <w:lvl w:ilvl="4">
      <w:start w:val="1"/>
      <w:numFmt w:val="none"/>
      <w:suff w:val="nothing"/>
      <w:lvlText w:val=""/>
      <w:lvlJc w:val="left"/>
      <w:pPr>
        <w:tabs>
          <w:tab w:val="num" w:pos="0"/>
        </w:tabs>
        <w:ind w:left="2160" w:hanging="0"/>
      </w:pPr>
      <w:rPr/>
    </w:lvl>
    <w:lvl w:ilvl="5">
      <w:start w:val="1"/>
      <w:numFmt w:val="none"/>
      <w:suff w:val="nothing"/>
      <w:lvlText w:val=""/>
      <w:lvlJc w:val="left"/>
      <w:pPr>
        <w:tabs>
          <w:tab w:val="num" w:pos="0"/>
        </w:tabs>
        <w:ind w:left="2520" w:hanging="0"/>
      </w:pPr>
      <w:rPr/>
    </w:lvl>
    <w:lvl w:ilvl="6">
      <w:start w:val="1"/>
      <w:numFmt w:val="none"/>
      <w:suff w:val="nothing"/>
      <w:lvlText w:val=""/>
      <w:lvlJc w:val="left"/>
      <w:pPr>
        <w:tabs>
          <w:tab w:val="num" w:pos="0"/>
        </w:tabs>
        <w:ind w:left="2880" w:hanging="0"/>
      </w:pPr>
      <w:rPr/>
    </w:lvl>
    <w:lvl w:ilvl="7">
      <w:start w:val="1"/>
      <w:numFmt w:val="none"/>
      <w:suff w:val="nothing"/>
      <w:lvlText w:val=""/>
      <w:lvlJc w:val="left"/>
      <w:pPr>
        <w:tabs>
          <w:tab w:val="num" w:pos="0"/>
        </w:tabs>
        <w:ind w:left="3240" w:hanging="0"/>
      </w:pPr>
      <w:rPr/>
    </w:lvl>
    <w:lvl w:ilvl="8">
      <w:start w:val="1"/>
      <w:numFmt w:val="none"/>
      <w:suff w:val="nothing"/>
      <w:lvlText w:val=""/>
      <w:lvlJc w:val="left"/>
      <w:pPr>
        <w:tabs>
          <w:tab w:val="num" w:pos="0"/>
        </w:tabs>
        <w:ind w:left="3600" w:hanging="0"/>
      </w:pPr>
      <w:rPr/>
    </w:lvl>
  </w:abstractNum>
  <w:abstractNum w:abstractNumId="47">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8">
    <w:lvl w:ilvl="0">
      <w:start w:val="1"/>
      <w:numFmt w:val="bullet"/>
      <w:lvlText w:val=""/>
      <w:lvlJc w:val="left"/>
      <w:pPr>
        <w:tabs>
          <w:tab w:val="num" w:pos="1429"/>
        </w:tabs>
        <w:ind w:left="1429" w:hanging="360"/>
      </w:pPr>
      <w:rPr>
        <w:rFonts w:ascii="Symbol" w:hAnsi="Symbol" w:cs="Symbol" w:hint="default"/>
        <w:szCs w:val="22"/>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szCs w:val="22"/>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szCs w:val="22"/>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49">
    <w:lvl w:ilvl="0">
      <w:start w:val="1"/>
      <w:numFmt w:val="bullet"/>
      <w:lvlText w:val=""/>
      <w:lvlJc w:val="left"/>
      <w:pPr>
        <w:tabs>
          <w:tab w:val="num" w:pos="367"/>
        </w:tabs>
        <w:ind w:left="367" w:hanging="360"/>
      </w:pPr>
      <w:rPr>
        <w:rFonts w:ascii="Symbol" w:hAnsi="Symbol" w:cs="Symbol" w:hint="default"/>
        <w:sz w:val="24"/>
        <w:szCs w:val="22"/>
      </w:rPr>
    </w:lvl>
    <w:lvl w:ilvl="1">
      <w:start w:val="1"/>
      <w:numFmt w:val="bullet"/>
      <w:lvlText w:val="◦"/>
      <w:lvlJc w:val="left"/>
      <w:pPr>
        <w:tabs>
          <w:tab w:val="num" w:pos="727"/>
        </w:tabs>
        <w:ind w:left="727" w:hanging="360"/>
      </w:pPr>
      <w:rPr>
        <w:rFonts w:ascii="OpenSymbol" w:hAnsi="OpenSymbol" w:cs="OpenSymbol" w:hint="default"/>
      </w:rPr>
    </w:lvl>
    <w:lvl w:ilvl="2">
      <w:start w:val="1"/>
      <w:numFmt w:val="bullet"/>
      <w:lvlText w:val="▪"/>
      <w:lvlJc w:val="left"/>
      <w:pPr>
        <w:tabs>
          <w:tab w:val="num" w:pos="1087"/>
        </w:tabs>
        <w:ind w:left="1087" w:hanging="360"/>
      </w:pPr>
      <w:rPr>
        <w:rFonts w:ascii="OpenSymbol" w:hAnsi="OpenSymbol" w:cs="OpenSymbol" w:hint="default"/>
      </w:rPr>
    </w:lvl>
    <w:lvl w:ilvl="3">
      <w:start w:val="1"/>
      <w:numFmt w:val="bullet"/>
      <w:lvlText w:val=""/>
      <w:lvlJc w:val="left"/>
      <w:pPr>
        <w:tabs>
          <w:tab w:val="num" w:pos="1447"/>
        </w:tabs>
        <w:ind w:left="1447" w:hanging="360"/>
      </w:pPr>
      <w:rPr>
        <w:rFonts w:ascii="Symbol" w:hAnsi="Symbol" w:cs="Symbol" w:hint="default"/>
        <w:sz w:val="24"/>
        <w:szCs w:val="22"/>
      </w:rPr>
    </w:lvl>
    <w:lvl w:ilvl="4">
      <w:start w:val="1"/>
      <w:numFmt w:val="bullet"/>
      <w:lvlText w:val="◦"/>
      <w:lvlJc w:val="left"/>
      <w:pPr>
        <w:tabs>
          <w:tab w:val="num" w:pos="1807"/>
        </w:tabs>
        <w:ind w:left="1807" w:hanging="360"/>
      </w:pPr>
      <w:rPr>
        <w:rFonts w:ascii="OpenSymbol" w:hAnsi="OpenSymbol" w:cs="OpenSymbol" w:hint="default"/>
      </w:rPr>
    </w:lvl>
    <w:lvl w:ilvl="5">
      <w:start w:val="1"/>
      <w:numFmt w:val="bullet"/>
      <w:lvlText w:val="▪"/>
      <w:lvlJc w:val="left"/>
      <w:pPr>
        <w:tabs>
          <w:tab w:val="num" w:pos="2167"/>
        </w:tabs>
        <w:ind w:left="2167" w:hanging="360"/>
      </w:pPr>
      <w:rPr>
        <w:rFonts w:ascii="OpenSymbol" w:hAnsi="OpenSymbol" w:cs="OpenSymbol" w:hint="default"/>
      </w:rPr>
    </w:lvl>
    <w:lvl w:ilvl="6">
      <w:start w:val="1"/>
      <w:numFmt w:val="bullet"/>
      <w:lvlText w:val=""/>
      <w:lvlJc w:val="left"/>
      <w:pPr>
        <w:tabs>
          <w:tab w:val="num" w:pos="2527"/>
        </w:tabs>
        <w:ind w:left="2527" w:hanging="360"/>
      </w:pPr>
      <w:rPr>
        <w:rFonts w:ascii="Symbol" w:hAnsi="Symbol" w:cs="Symbol" w:hint="default"/>
        <w:sz w:val="24"/>
        <w:szCs w:val="22"/>
      </w:rPr>
    </w:lvl>
    <w:lvl w:ilvl="7">
      <w:start w:val="1"/>
      <w:numFmt w:val="bullet"/>
      <w:lvlText w:val="◦"/>
      <w:lvlJc w:val="left"/>
      <w:pPr>
        <w:tabs>
          <w:tab w:val="num" w:pos="2887"/>
        </w:tabs>
        <w:ind w:left="2887" w:hanging="360"/>
      </w:pPr>
      <w:rPr>
        <w:rFonts w:ascii="OpenSymbol" w:hAnsi="OpenSymbol" w:cs="OpenSymbol" w:hint="default"/>
      </w:rPr>
    </w:lvl>
    <w:lvl w:ilvl="8">
      <w:start w:val="1"/>
      <w:numFmt w:val="bullet"/>
      <w:lvlText w:val="▪"/>
      <w:lvlJc w:val="left"/>
      <w:pPr>
        <w:tabs>
          <w:tab w:val="num" w:pos="3247"/>
        </w:tabs>
        <w:ind w:left="3247" w:hanging="360"/>
      </w:pPr>
      <w:rPr>
        <w:rFonts w:ascii="OpenSymbol" w:hAnsi="OpenSymbol" w:cs="OpenSymbol" w:hint="default"/>
      </w:rPr>
    </w:lvl>
  </w:abstractNum>
  <w:abstractNum w:abstractNumId="50">
    <w:lvl w:ilvl="0">
      <w:start w:val="1"/>
      <w:numFmt w:val="bullet"/>
      <w:lvlText w:val=""/>
      <w:lvlJc w:val="left"/>
      <w:pPr>
        <w:tabs>
          <w:tab w:val="num" w:pos="2138"/>
        </w:tabs>
        <w:ind w:left="2138" w:hanging="360"/>
      </w:pPr>
      <w:rPr>
        <w:rFonts w:ascii="Symbol" w:hAnsi="Symbol" w:cs="Symbol" w:hint="default"/>
        <w:b/>
      </w:rPr>
    </w:lvl>
    <w:lvl w:ilvl="1">
      <w:start w:val="1"/>
      <w:numFmt w:val="bullet"/>
      <w:lvlText w:val="◦"/>
      <w:lvlJc w:val="left"/>
      <w:pPr>
        <w:tabs>
          <w:tab w:val="num" w:pos="2498"/>
        </w:tabs>
        <w:ind w:left="2498" w:hanging="360"/>
      </w:pPr>
      <w:rPr>
        <w:rFonts w:ascii="OpenSymbol" w:hAnsi="OpenSymbol" w:cs="OpenSymbol" w:hint="default"/>
      </w:rPr>
    </w:lvl>
    <w:lvl w:ilvl="2">
      <w:start w:val="1"/>
      <w:numFmt w:val="bullet"/>
      <w:lvlText w:val="▪"/>
      <w:lvlJc w:val="left"/>
      <w:pPr>
        <w:tabs>
          <w:tab w:val="num" w:pos="2858"/>
        </w:tabs>
        <w:ind w:left="2858" w:hanging="360"/>
      </w:pPr>
      <w:rPr>
        <w:rFonts w:ascii="OpenSymbol" w:hAnsi="OpenSymbol" w:cs="OpenSymbol" w:hint="default"/>
      </w:rPr>
    </w:lvl>
    <w:lvl w:ilvl="3">
      <w:start w:val="1"/>
      <w:numFmt w:val="bullet"/>
      <w:lvlText w:val=""/>
      <w:lvlJc w:val="left"/>
      <w:pPr>
        <w:tabs>
          <w:tab w:val="num" w:pos="3218"/>
        </w:tabs>
        <w:ind w:left="3218" w:hanging="360"/>
      </w:pPr>
      <w:rPr>
        <w:rFonts w:ascii="Symbol" w:hAnsi="Symbol" w:cs="Symbol" w:hint="default"/>
      </w:rPr>
    </w:lvl>
    <w:lvl w:ilvl="4">
      <w:start w:val="1"/>
      <w:numFmt w:val="bullet"/>
      <w:lvlText w:val="◦"/>
      <w:lvlJc w:val="left"/>
      <w:pPr>
        <w:tabs>
          <w:tab w:val="num" w:pos="3578"/>
        </w:tabs>
        <w:ind w:left="3578" w:hanging="360"/>
      </w:pPr>
      <w:rPr>
        <w:rFonts w:ascii="OpenSymbol" w:hAnsi="OpenSymbol" w:cs="OpenSymbol" w:hint="default"/>
      </w:rPr>
    </w:lvl>
    <w:lvl w:ilvl="5">
      <w:start w:val="1"/>
      <w:numFmt w:val="bullet"/>
      <w:lvlText w:val="▪"/>
      <w:lvlJc w:val="left"/>
      <w:pPr>
        <w:tabs>
          <w:tab w:val="num" w:pos="3938"/>
        </w:tabs>
        <w:ind w:left="3938" w:hanging="360"/>
      </w:pPr>
      <w:rPr>
        <w:rFonts w:ascii="OpenSymbol" w:hAnsi="OpenSymbol" w:cs="OpenSymbol" w:hint="default"/>
      </w:rPr>
    </w:lvl>
    <w:lvl w:ilvl="6">
      <w:start w:val="1"/>
      <w:numFmt w:val="bullet"/>
      <w:lvlText w:val=""/>
      <w:lvlJc w:val="left"/>
      <w:pPr>
        <w:tabs>
          <w:tab w:val="num" w:pos="4298"/>
        </w:tabs>
        <w:ind w:left="4298" w:hanging="360"/>
      </w:pPr>
      <w:rPr>
        <w:rFonts w:ascii="Symbol" w:hAnsi="Symbol" w:cs="Symbol" w:hint="default"/>
      </w:rPr>
    </w:lvl>
    <w:lvl w:ilvl="7">
      <w:start w:val="1"/>
      <w:numFmt w:val="bullet"/>
      <w:lvlText w:val="◦"/>
      <w:lvlJc w:val="left"/>
      <w:pPr>
        <w:tabs>
          <w:tab w:val="num" w:pos="4658"/>
        </w:tabs>
        <w:ind w:left="4658" w:hanging="360"/>
      </w:pPr>
      <w:rPr>
        <w:rFonts w:ascii="OpenSymbol" w:hAnsi="OpenSymbol" w:cs="OpenSymbol" w:hint="default"/>
      </w:rPr>
    </w:lvl>
    <w:lvl w:ilvl="8">
      <w:start w:val="1"/>
      <w:numFmt w:val="bullet"/>
      <w:lvlText w:val="▪"/>
      <w:lvlJc w:val="left"/>
      <w:pPr>
        <w:tabs>
          <w:tab w:val="num" w:pos="5018"/>
        </w:tabs>
        <w:ind w:left="5018" w:hanging="360"/>
      </w:pPr>
      <w:rPr>
        <w:rFonts w:ascii="OpenSymbol" w:hAnsi="OpenSymbol" w:cs="OpenSymbol" w:hint="default"/>
      </w:rPr>
    </w:lvl>
  </w:abstractNum>
  <w:abstractNum w:abstractNumId="51">
    <w:lvl w:ilvl="0">
      <w:start w:val="1"/>
      <w:numFmt w:val="bullet"/>
      <w:lvlText w:val=""/>
      <w:lvlJc w:val="left"/>
      <w:pPr>
        <w:tabs>
          <w:tab w:val="num" w:pos="0"/>
        </w:tabs>
        <w:ind w:left="720" w:hanging="360"/>
      </w:pPr>
      <w:rPr>
        <w:rFonts w:ascii="Wingdings" w:hAnsi="Wingdings" w:cs="Wingdings" w:hint="default"/>
        <w:sz w:val="28"/>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lvl w:ilvl="0">
      <w:start w:val="1"/>
      <w:numFmt w:val="bullet"/>
      <w:lvlText w:val=""/>
      <w:lvlJc w:val="left"/>
      <w:pPr>
        <w:tabs>
          <w:tab w:val="num" w:pos="0"/>
        </w:tabs>
        <w:ind w:left="862" w:hanging="360"/>
      </w:pPr>
      <w:rPr>
        <w:rFonts w:ascii="Symbol" w:hAnsi="Symbol" w:cs="Symbol" w:hint="default"/>
        <w:sz w:val="26"/>
        <w:b/>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53">
    <w:lvl w:ilvl="0">
      <w:start w:val="1"/>
      <w:numFmt w:val="bullet"/>
      <w:lvlText w:val="-"/>
      <w:lvlJc w:val="left"/>
      <w:pPr>
        <w:tabs>
          <w:tab w:val="num" w:pos="0"/>
        </w:tabs>
        <w:ind w:left="1080" w:hanging="360"/>
      </w:pPr>
      <w:rPr>
        <w:rFonts w:ascii="Calibri" w:hAnsi="Calibri" w:cs="Calibri" w:hint="default"/>
        <w:sz w:val="21"/>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bering>
</file>

<file path=word/settings.xml><?xml version="1.0" encoding="utf-8"?>
<w:settings xmlns:w="http://schemas.openxmlformats.org/wordprocessingml/2006/main">
  <w:zoom w:percent="110"/>
  <w:displayBackgroundShape/>
  <w:defaultTabStop w:val="709"/>
  <w:mailMerge>
    <w:mainDocumentType w:val="formLetters"/>
    <w:dataType w:val="textFile"/>
    <w:query w:val="SELECT * FROM Adresses_5.dbo.Feuille3$"/>
  </w:mailMerge>
  <w:autoHyphenation w:val="true"/>
  <w:compat>
    <w:doNotExpandShiftReturn/>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false"/>
      <w:bidi w:val="0"/>
      <w:spacing w:before="0" w:after="0"/>
      <w:jc w:val="left"/>
      <w:textAlignment w:val="baseline"/>
    </w:pPr>
    <w:rPr>
      <w:rFonts w:ascii="Arial" w:hAnsi="Arial" w:eastAsia="Times New Roman" w:cs="Times New Roman"/>
      <w:color w:val="00000A"/>
      <w:kern w:val="0"/>
      <w:sz w:val="22"/>
      <w:szCs w:val="20"/>
      <w:lang w:val="fr-FR" w:eastAsia="zh-CN" w:bidi="ar-SA"/>
    </w:rPr>
  </w:style>
  <w:style w:type="paragraph" w:styleId="Titre1">
    <w:name w:val="Heading 1"/>
    <w:basedOn w:val="Normal"/>
    <w:next w:val="Normal"/>
    <w:qFormat/>
    <w:pPr>
      <w:keepNext w:val="true"/>
      <w:numPr>
        <w:ilvl w:val="0"/>
        <w:numId w:val="1"/>
      </w:numPr>
      <w:overflowPunct w:val="true"/>
      <w:jc w:val="center"/>
      <w:textAlignment w:val="auto"/>
      <w:outlineLvl w:val="0"/>
    </w:pPr>
    <w:rPr>
      <w:rFonts w:cs="Arial"/>
      <w:b/>
      <w:bCs/>
      <w:color w:val="0000FF"/>
      <w:sz w:val="32"/>
      <w:szCs w:val="32"/>
    </w:rPr>
  </w:style>
  <w:style w:type="paragraph" w:styleId="Titre2">
    <w:name w:val="Heading 2"/>
    <w:basedOn w:val="Normal"/>
    <w:next w:val="Normal"/>
    <w:qFormat/>
    <w:pPr>
      <w:keepNext w:val="true"/>
      <w:numPr>
        <w:ilvl w:val="1"/>
        <w:numId w:val="1"/>
      </w:numPr>
      <w:ind w:left="9214" w:right="-124" w:hanging="0"/>
      <w:outlineLvl w:val="1"/>
    </w:pPr>
    <w:rPr>
      <w:b/>
      <w:bCs/>
      <w:i/>
      <w:iCs/>
    </w:rPr>
  </w:style>
  <w:style w:type="paragraph" w:styleId="Titre3">
    <w:name w:val="Heading 3"/>
    <w:basedOn w:val="Normal"/>
    <w:next w:val="Normal"/>
    <w:qFormat/>
    <w:pPr>
      <w:keepNext w:val="true"/>
      <w:numPr>
        <w:ilvl w:val="2"/>
        <w:numId w:val="1"/>
      </w:numPr>
      <w:outlineLvl w:val="2"/>
    </w:pPr>
    <w:rPr>
      <w:rFonts w:ascii="Times New Roman" w:hAnsi="Times New Roman"/>
      <w:b/>
      <w:bCs/>
      <w:color w:val="0000FF"/>
      <w:sz w:val="18"/>
      <w:szCs w:val="18"/>
    </w:rPr>
  </w:style>
  <w:style w:type="paragraph" w:styleId="Titre4">
    <w:name w:val="Heading 4"/>
    <w:basedOn w:val="Normal"/>
    <w:next w:val="Normal"/>
    <w:qFormat/>
    <w:pPr>
      <w:keepNext w:val="true"/>
      <w:numPr>
        <w:ilvl w:val="3"/>
        <w:numId w:val="1"/>
      </w:numPr>
      <w:ind w:left="851" w:right="1236" w:hanging="0"/>
      <w:jc w:val="center"/>
      <w:outlineLvl w:val="3"/>
    </w:pPr>
    <w:rPr>
      <w:rFonts w:cs="Arial"/>
      <w:b/>
      <w:bCs/>
      <w:color w:val="0000FF"/>
      <w:sz w:val="36"/>
      <w:szCs w:val="32"/>
    </w:rPr>
  </w:style>
  <w:style w:type="paragraph" w:styleId="Titre5">
    <w:name w:val="Heading 5"/>
    <w:basedOn w:val="Normal"/>
    <w:next w:val="Normal"/>
    <w:qFormat/>
    <w:pPr>
      <w:keepNext w:val="true"/>
      <w:numPr>
        <w:ilvl w:val="4"/>
        <w:numId w:val="1"/>
      </w:numPr>
      <w:ind w:left="851" w:right="527" w:hanging="0"/>
      <w:jc w:val="both"/>
      <w:outlineLvl w:val="4"/>
    </w:pPr>
    <w:rPr>
      <w:sz w:val="40"/>
    </w:rPr>
  </w:style>
  <w:style w:type="paragraph" w:styleId="Titre6">
    <w:name w:val="Heading 6"/>
    <w:basedOn w:val="Normal"/>
    <w:next w:val="Normal"/>
    <w:qFormat/>
    <w:pPr>
      <w:keepNext w:val="true"/>
      <w:numPr>
        <w:ilvl w:val="5"/>
        <w:numId w:val="1"/>
      </w:numPr>
      <w:jc w:val="center"/>
      <w:outlineLvl w:val="5"/>
    </w:pPr>
    <w:rPr>
      <w:b/>
      <w:bCs/>
      <w:sz w:val="40"/>
    </w:rPr>
  </w:style>
  <w:style w:type="paragraph" w:styleId="Titre7">
    <w:name w:val="Heading 7"/>
    <w:basedOn w:val="Normal"/>
    <w:next w:val="Normal"/>
    <w:qFormat/>
    <w:pPr>
      <w:keepNext w:val="true"/>
      <w:numPr>
        <w:ilvl w:val="6"/>
        <w:numId w:val="1"/>
      </w:numPr>
      <w:ind w:right="527" w:hanging="0"/>
      <w:jc w:val="both"/>
      <w:outlineLvl w:val="6"/>
    </w:pPr>
    <w:rPr>
      <w:rFonts w:ascii="Times New Roman" w:hAnsi="Times New Roman"/>
      <w:b/>
      <w:bCs/>
      <w:color w:val="0000FF"/>
      <w:szCs w:val="18"/>
    </w:rPr>
  </w:style>
  <w:style w:type="paragraph" w:styleId="Titre8">
    <w:name w:val="Heading 8"/>
    <w:basedOn w:val="Normal"/>
    <w:next w:val="Normal"/>
    <w:qFormat/>
    <w:pPr>
      <w:keepNext w:val="true"/>
      <w:numPr>
        <w:ilvl w:val="7"/>
        <w:numId w:val="1"/>
      </w:numPr>
      <w:ind w:right="567" w:hanging="0"/>
      <w:jc w:val="both"/>
      <w:outlineLvl w:val="7"/>
    </w:pPr>
    <w:rPr>
      <w:rFonts w:ascii="Times New Roman" w:hAnsi="Times New Roman"/>
      <w:b/>
      <w:bCs/>
      <w:color w:val="0000FF"/>
    </w:rPr>
  </w:style>
  <w:style w:type="paragraph" w:styleId="Titre9">
    <w:name w:val="Heading 9"/>
    <w:basedOn w:val="Normal"/>
    <w:next w:val="Normal"/>
    <w:qFormat/>
    <w:pPr>
      <w:keepNext w:val="true"/>
      <w:numPr>
        <w:ilvl w:val="8"/>
        <w:numId w:val="1"/>
      </w:numPr>
      <w:ind w:right="567" w:hanging="0"/>
      <w:jc w:val="both"/>
      <w:outlineLvl w:val="8"/>
    </w:pPr>
    <w:rPr>
      <w:rFonts w:ascii="Times New Roman" w:hAnsi="Times New Roman"/>
      <w:b/>
      <w:bCs/>
      <w:szCs w:val="18"/>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cs="Symbol"/>
      <w:szCs w:val="22"/>
    </w:rPr>
  </w:style>
  <w:style w:type="character" w:styleId="WW8Num3z0" w:customStyle="1">
    <w:name w:val="WW8Num3z0"/>
    <w:qFormat/>
    <w:rPr>
      <w:rFonts w:ascii="Times New Roman" w:hAnsi="Times New Roman" w:cs="Symbol"/>
      <w:szCs w:val="22"/>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4z0" w:customStyle="1">
    <w:name w:val="WW8Num4z0"/>
    <w:qFormat/>
    <w:rPr>
      <w:rFonts w:ascii="Times New Roman" w:hAnsi="Times New Roman" w:cs="Times New Roman"/>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0" w:customStyle="1">
    <w:name w:val="WW8Num5z0"/>
    <w:qFormat/>
    <w:rPr>
      <w:rFonts w:ascii="Times New Roman" w:hAnsi="Times New Roman" w:cs="Arial"/>
      <w:sz w:val="20"/>
      <w:szCs w:val="22"/>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6z0" w:customStyle="1">
    <w:name w:val="WW8Num6z0"/>
    <w:qFormat/>
    <w:rPr>
      <w:rFonts w:ascii="Times New Roman" w:hAnsi="Times New Roman" w:cs="Times New Roman"/>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rFonts w:ascii="Times New Roman" w:hAnsi="Times New Roman" w:cs="Times New Roman"/>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0" w:customStyle="1">
    <w:name w:val="WW8Num8z0"/>
    <w:qFormat/>
    <w:rPr>
      <w:rFonts w:ascii="Times New Roman" w:hAnsi="Times New Roman" w:cs="Wingdings"/>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rFonts w:ascii="Times New Roman" w:hAnsi="Times New Roman" w:cs="Times New Roman"/>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rFonts w:ascii="Times New Roman" w:hAnsi="Times New Roman" w:cs="Times New Roman"/>
      <w:szCs w:val="22"/>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rFonts w:ascii="Times New Roman" w:hAnsi="Times New Roman" w:cs="Arial"/>
      <w:sz w:val="20"/>
      <w:szCs w:val="22"/>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WW8Num12z0" w:customStyle="1">
    <w:name w:val="WW8Num12z0"/>
    <w:qFormat/>
    <w:rPr>
      <w:rFonts w:ascii="Times New Roman" w:hAnsi="Times New Roman" w:cs="Times New Roman"/>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8Num13z0" w:customStyle="1">
    <w:name w:val="WW8Num13z0"/>
    <w:qFormat/>
    <w:rPr>
      <w:rFonts w:ascii="Times New Roman" w:hAnsi="Times New Roman" w:cs="Symbol"/>
      <w:color w:val="000000"/>
    </w:rPr>
  </w:style>
  <w:style w:type="character" w:styleId="WW8Num13z1" w:customStyle="1">
    <w:name w:val="WW8Num13z1"/>
    <w:qFormat/>
    <w:rPr>
      <w:rFonts w:ascii="Courier New" w:hAnsi="Courier New" w:cs="Wingdings"/>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rFonts w:ascii="Times New Roman" w:hAnsi="Times New Roman" w:cs="Arial"/>
      <w:szCs w:val="22"/>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rFonts w:ascii="Times New Roman" w:hAnsi="Times New Roman" w:cs="Times New Roman"/>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color w:val="000000"/>
      <w:sz w:val="30"/>
      <w:szCs w:val="30"/>
    </w:rPr>
  </w:style>
  <w:style w:type="character" w:styleId="WW8Num15z3" w:customStyle="1">
    <w:name w:val="WW8Num15z3"/>
    <w:qFormat/>
    <w:rPr>
      <w:rFonts w:ascii="Symbol" w:hAnsi="Symbol" w:cs="Symbol"/>
    </w:rPr>
  </w:style>
  <w:style w:type="character" w:styleId="WW8Num16z0" w:customStyle="1">
    <w:name w:val="WW8Num16z0"/>
    <w:qFormat/>
    <w:rPr>
      <w:rFonts w:ascii="Times New Roman" w:hAnsi="Times New Roman" w:cs="Times New Roman"/>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rFonts w:ascii="Times New Roman" w:hAnsi="Times New Roman" w:cs="Arial"/>
    </w:rPr>
  </w:style>
  <w:style w:type="character" w:styleId="WW8Num17z1" w:customStyle="1">
    <w:name w:val="WW8Num17z1"/>
    <w:qFormat/>
    <w:rPr>
      <w:rFonts w:ascii="Courier New" w:hAnsi="Courier New" w:cs="Wingdings"/>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rFonts w:ascii="Times New Roman" w:hAnsi="Times New Roman" w:cs="Arial"/>
    </w:rPr>
  </w:style>
  <w:style w:type="character" w:styleId="WW8Num18z1" w:customStyle="1">
    <w:name w:val="WW8Num18z1"/>
    <w:qFormat/>
    <w:rPr>
      <w:rFonts w:ascii="Courier New" w:hAnsi="Courier New" w:cs="Wingdings"/>
    </w:rPr>
  </w:style>
  <w:style w:type="character" w:styleId="WW8Num18z2" w:customStyle="1">
    <w:name w:val="WW8Num18z2"/>
    <w:qFormat/>
    <w:rPr>
      <w:rFonts w:ascii="Wingdings" w:hAnsi="Wingdings" w:cs="Wingdings"/>
    </w:rPr>
  </w:style>
  <w:style w:type="character" w:styleId="WW8Num18z3" w:customStyle="1">
    <w:name w:val="WW8Num18z3"/>
    <w:qFormat/>
    <w:rPr>
      <w:rFonts w:ascii="Symbol" w:hAnsi="Symbol" w:cs="Symbol"/>
    </w:rPr>
  </w:style>
  <w:style w:type="character" w:styleId="WW8Num19z0" w:customStyle="1">
    <w:name w:val="WW8Num19z0"/>
    <w:qFormat/>
    <w:rPr>
      <w:rFonts w:ascii="Times New Roman" w:hAnsi="Times New Roman" w:cs="Times New Roman"/>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szCs w:val="22"/>
    </w:rPr>
  </w:style>
  <w:style w:type="character" w:styleId="WW8Num19z3" w:customStyle="1">
    <w:name w:val="WW8Num19z3"/>
    <w:qFormat/>
    <w:rPr>
      <w:rFonts w:ascii="Symbol" w:hAnsi="Symbol" w:cs="Symbol"/>
    </w:rPr>
  </w:style>
  <w:style w:type="character" w:styleId="WW8Num20z0" w:customStyle="1">
    <w:name w:val="WW8Num20z0"/>
    <w:qFormat/>
    <w:rPr>
      <w:rFonts w:ascii="Times New Roman" w:hAnsi="Times New Roman"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color w:val="000000"/>
      <w:szCs w:val="22"/>
    </w:rPr>
  </w:style>
  <w:style w:type="character" w:styleId="WW8Num20z3" w:customStyle="1">
    <w:name w:val="WW8Num20z3"/>
    <w:qFormat/>
    <w:rPr>
      <w:rFonts w:ascii="Symbol" w:hAnsi="Symbol" w:cs="Symbol"/>
    </w:rPr>
  </w:style>
  <w:style w:type="character" w:styleId="WW8Num21z0" w:customStyle="1">
    <w:name w:val="WW8Num21z0"/>
    <w:qFormat/>
    <w:rPr>
      <w:rFonts w:ascii="Times New Roman" w:hAnsi="Times New Roman" w:cs="Arial"/>
    </w:rPr>
  </w:style>
  <w:style w:type="character" w:styleId="WW8Num21z1" w:customStyle="1">
    <w:name w:val="WW8Num21z1"/>
    <w:qFormat/>
    <w:rPr>
      <w:rFonts w:ascii="Courier New" w:hAnsi="Courier New" w:cs="Wingdings"/>
    </w:rPr>
  </w:style>
  <w:style w:type="character" w:styleId="WW8Num21z2" w:customStyle="1">
    <w:name w:val="WW8Num21z2"/>
    <w:qFormat/>
    <w:rPr>
      <w:rFonts w:ascii="Wingdings" w:hAnsi="Wingdings" w:cs="Wingdings"/>
      <w:color w:val="000000"/>
      <w:sz w:val="26"/>
      <w:szCs w:val="22"/>
    </w:rPr>
  </w:style>
  <w:style w:type="character" w:styleId="WW8Num21z3" w:customStyle="1">
    <w:name w:val="WW8Num21z3"/>
    <w:qFormat/>
    <w:rPr>
      <w:rFonts w:ascii="Symbol" w:hAnsi="Symbol" w:cs="Symbol"/>
    </w:rPr>
  </w:style>
  <w:style w:type="character" w:styleId="WW8Num22z0" w:customStyle="1">
    <w:name w:val="WW8Num22z0"/>
    <w:qFormat/>
    <w:rPr>
      <w:rFonts w:ascii="Times New Roman" w:hAnsi="Times New Roman" w:cs="Arial"/>
    </w:rPr>
  </w:style>
  <w:style w:type="character" w:styleId="WW8Num22z1" w:customStyle="1">
    <w:name w:val="WW8Num22z1"/>
    <w:qFormat/>
    <w:rPr>
      <w:rFonts w:ascii="Courier New" w:hAnsi="Courier New" w:cs="Wingdings"/>
    </w:rPr>
  </w:style>
  <w:style w:type="character" w:styleId="WW8Num22z2" w:customStyle="1">
    <w:name w:val="WW8Num22z2"/>
    <w:qFormat/>
    <w:rPr>
      <w:rFonts w:ascii="Wingdings" w:hAnsi="Wingdings" w:cs="Arial"/>
    </w:rPr>
  </w:style>
  <w:style w:type="character" w:styleId="WW8Num22z3" w:customStyle="1">
    <w:name w:val="WW8Num22z3"/>
    <w:qFormat/>
    <w:rPr>
      <w:rFonts w:ascii="Symbol" w:hAnsi="Symbol" w:cs="Symbol"/>
    </w:rPr>
  </w:style>
  <w:style w:type="character" w:styleId="WW8Num23z0" w:customStyle="1">
    <w:name w:val="WW8Num23z0"/>
    <w:qFormat/>
    <w:rPr>
      <w:rFonts w:ascii="Times New Roman" w:hAnsi="Times New Roman" w:cs="Wingdings"/>
      <w:sz w:val="20"/>
      <w:szCs w:val="22"/>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3z3" w:customStyle="1">
    <w:name w:val="WW8Num23z3"/>
    <w:qFormat/>
    <w:rPr>
      <w:rFonts w:ascii="Symbol" w:hAnsi="Symbol" w:cs="Symbol"/>
    </w:rPr>
  </w:style>
  <w:style w:type="character" w:styleId="WW8Num24z0" w:customStyle="1">
    <w:name w:val="WW8Num24z0"/>
    <w:qFormat/>
    <w:rPr>
      <w:rFonts w:ascii="Times New Roman" w:hAnsi="Times New Roman" w:cs="Arial"/>
      <w:sz w:val="20"/>
      <w:szCs w:val="22"/>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4z3" w:customStyle="1">
    <w:name w:val="WW8Num24z3"/>
    <w:qFormat/>
    <w:rPr>
      <w:rFonts w:ascii="Symbol" w:hAnsi="Symbol" w:cs="Symbol"/>
    </w:rPr>
  </w:style>
  <w:style w:type="character" w:styleId="WW8Num25z0" w:customStyle="1">
    <w:name w:val="WW8Num25z0"/>
    <w:qFormat/>
    <w:rPr>
      <w:rFonts w:ascii="Times New Roman" w:hAnsi="Times New Roman" w:cs="Arial"/>
    </w:rPr>
  </w:style>
  <w:style w:type="character" w:styleId="WW8Num25z1" w:customStyle="1">
    <w:name w:val="WW8Num25z1"/>
    <w:qFormat/>
    <w:rPr>
      <w:rFonts w:ascii="Courier New" w:hAnsi="Courier New" w:cs="Wingdings"/>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rFonts w:ascii="Times New Roman" w:hAnsi="Times New Roman"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rFonts w:ascii="Times New Roman" w:hAnsi="Times New Roman" w:cs="Times New Roman"/>
      <w:sz w:val="24"/>
      <w:szCs w:val="24"/>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szCs w:val="22"/>
    </w:rPr>
  </w:style>
  <w:style w:type="character" w:styleId="WW8Num27z3" w:customStyle="1">
    <w:name w:val="WW8Num27z3"/>
    <w:qFormat/>
    <w:rPr>
      <w:rFonts w:ascii="Symbol" w:hAnsi="Symbol" w:cs="Symbol"/>
    </w:rPr>
  </w:style>
  <w:style w:type="character" w:styleId="WW8Num28z0" w:customStyle="1">
    <w:name w:val="WW8Num28z0"/>
    <w:qFormat/>
    <w:rPr>
      <w:rFonts w:ascii="Times New Roman" w:hAnsi="Times New Roman" w:cs="Times New Roman"/>
      <w:b w:val="false"/>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color w:val="000000"/>
      <w:szCs w:val="22"/>
    </w:rPr>
  </w:style>
  <w:style w:type="character" w:styleId="WW8Num28z3" w:customStyle="1">
    <w:name w:val="WW8Num28z3"/>
    <w:qFormat/>
    <w:rPr>
      <w:rFonts w:ascii="Symbol" w:hAnsi="Symbol" w:cs="Symbol"/>
    </w:rPr>
  </w:style>
  <w:style w:type="character" w:styleId="WW8Num29z0" w:customStyle="1">
    <w:name w:val="WW8Num29z0"/>
    <w:qFormat/>
    <w:rPr>
      <w:rFonts w:ascii="Times New Roman" w:hAnsi="Times New Roman" w:cs="Times New Roman"/>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color w:val="000000"/>
      <w:sz w:val="26"/>
      <w:szCs w:val="22"/>
    </w:rPr>
  </w:style>
  <w:style w:type="character" w:styleId="WW8Num29z3" w:customStyle="1">
    <w:name w:val="WW8Num29z3"/>
    <w:qFormat/>
    <w:rPr>
      <w:rFonts w:ascii="Symbol" w:hAnsi="Symbol" w:cs="Symbol"/>
    </w:rPr>
  </w:style>
  <w:style w:type="character" w:styleId="WW8Num30z0" w:customStyle="1">
    <w:name w:val="WW8Num30z0"/>
    <w:qFormat/>
    <w:rPr>
      <w:rFonts w:ascii="Times New Roman" w:hAnsi="Times New Roman" w:cs="Times New Roman"/>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WW8Num31z0" w:customStyle="1">
    <w:name w:val="WW8Num31z0"/>
    <w:qFormat/>
    <w:rPr>
      <w:rFonts w:ascii="Times New Roman" w:hAnsi="Times New Roman" w:cs="Symbol"/>
      <w:szCs w:val="22"/>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WW8Num32z0" w:customStyle="1">
    <w:name w:val="WW8Num32z0"/>
    <w:qFormat/>
    <w:rPr>
      <w:rFonts w:ascii="Times New Roman" w:hAnsi="Times New Roman" w:cs="Times New Roman"/>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rFonts w:ascii="Times New Roman" w:hAnsi="Times New Roman" w:cs="Times New Roman"/>
      <w:color w:val="000000"/>
    </w:rPr>
  </w:style>
  <w:style w:type="character" w:styleId="WW8Num33z1" w:customStyle="1">
    <w:name w:val="WW8Num33z1"/>
    <w:qFormat/>
    <w:rPr>
      <w:rFonts w:ascii="Courier New" w:hAnsi="Courier New" w:cs="Arial"/>
      <w:color w:val="000000"/>
    </w:rPr>
  </w:style>
  <w:style w:type="character" w:styleId="WW8Num33z2" w:customStyle="1">
    <w:name w:val="WW8Num33z2"/>
    <w:qFormat/>
    <w:rPr>
      <w:rFonts w:ascii="Wingdings" w:hAnsi="Wingdings" w:cs="Wingdings"/>
    </w:rPr>
  </w:style>
  <w:style w:type="character" w:styleId="WW8Num33z3" w:customStyle="1">
    <w:name w:val="WW8Num33z3"/>
    <w:qFormat/>
    <w:rPr>
      <w:rFonts w:ascii="Symbol" w:hAnsi="Symbol" w:cs="Symbol"/>
    </w:rPr>
  </w:style>
  <w:style w:type="character" w:styleId="WW8Num34z0" w:customStyle="1">
    <w:name w:val="WW8Num34z0"/>
    <w:qFormat/>
    <w:rPr>
      <w:rFonts w:ascii="Times New Roman" w:hAnsi="Times New Roman" w:cs="Wingdings 2"/>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4z3" w:customStyle="1">
    <w:name w:val="WW8Num34z3"/>
    <w:qFormat/>
    <w:rPr>
      <w:rFonts w:ascii="Symbol" w:hAnsi="Symbol" w:cs="Symbol"/>
    </w:rPr>
  </w:style>
  <w:style w:type="character" w:styleId="WW8Num35z0" w:customStyle="1">
    <w:name w:val="WW8Num35z0"/>
    <w:qFormat/>
    <w:rPr>
      <w:rFonts w:ascii="Times New Roman" w:hAnsi="Times New Roman" w:cs="Symbol"/>
      <w:color w:val="000000"/>
    </w:rPr>
  </w:style>
  <w:style w:type="character" w:styleId="WW8Num35z1" w:customStyle="1">
    <w:name w:val="WW8Num35z1"/>
    <w:qFormat/>
    <w:rPr>
      <w:rFonts w:ascii="Courier New" w:hAnsi="Courier New" w:cs="Wingdings"/>
    </w:rPr>
  </w:style>
  <w:style w:type="character" w:styleId="WW8Num35z2" w:customStyle="1">
    <w:name w:val="WW8Num35z2"/>
    <w:qFormat/>
    <w:rPr>
      <w:rFonts w:ascii="Wingdings" w:hAnsi="Wingdings" w:cs="Wingdings"/>
    </w:rPr>
  </w:style>
  <w:style w:type="character" w:styleId="WW8Num35z3" w:customStyle="1">
    <w:name w:val="WW8Num35z3"/>
    <w:qFormat/>
    <w:rPr>
      <w:rFonts w:ascii="Symbol" w:hAnsi="Symbol" w:cs="Symbol"/>
    </w:rPr>
  </w:style>
  <w:style w:type="character" w:styleId="WW8Num36z0" w:customStyle="1">
    <w:name w:val="WW8Num36z0"/>
    <w:qFormat/>
    <w:rPr>
      <w:rFonts w:ascii="Times New Roman" w:hAnsi="Times New Roman" w:cs="Wingdings"/>
    </w:rPr>
  </w:style>
  <w:style w:type="character" w:styleId="WW8Num36z1" w:customStyle="1">
    <w:name w:val="WW8Num36z1"/>
    <w:qFormat/>
    <w:rPr>
      <w:rFonts w:ascii="Courier New" w:hAnsi="Courier New" w:cs="Courier New"/>
    </w:rPr>
  </w:style>
  <w:style w:type="character" w:styleId="WW8Num36z2" w:customStyle="1">
    <w:name w:val="WW8Num36z2"/>
    <w:qFormat/>
    <w:rPr>
      <w:rFonts w:ascii="Wingdings" w:hAnsi="Wingdings" w:cs="Wingdings"/>
    </w:rPr>
  </w:style>
  <w:style w:type="character" w:styleId="WW8Num36z3" w:customStyle="1">
    <w:name w:val="WW8Num36z3"/>
    <w:qFormat/>
    <w:rPr>
      <w:rFonts w:ascii="Symbol" w:hAnsi="Symbol" w:cs="Symbol"/>
    </w:rPr>
  </w:style>
  <w:style w:type="character" w:styleId="WW8Num37z0" w:customStyle="1">
    <w:name w:val="WW8Num37z0"/>
    <w:qFormat/>
    <w:rPr>
      <w:rFonts w:ascii="Times New Roman" w:hAnsi="Times New Roman" w:cs="Times New Roman"/>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cs="Wingdings"/>
    </w:rPr>
  </w:style>
  <w:style w:type="character" w:styleId="WW8Num37z3" w:customStyle="1">
    <w:name w:val="WW8Num37z3"/>
    <w:qFormat/>
    <w:rPr>
      <w:rFonts w:ascii="Symbol" w:hAnsi="Symbol" w:cs="Symbol"/>
    </w:rPr>
  </w:style>
  <w:style w:type="character" w:styleId="WW8Num38z0" w:customStyle="1">
    <w:name w:val="WW8Num38z0"/>
    <w:qFormat/>
    <w:rPr>
      <w:rFonts w:ascii="Times New Roman" w:hAnsi="Times New Roman" w:cs="Times New Roman"/>
      <w:sz w:val="24"/>
      <w:szCs w:val="24"/>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8z3" w:customStyle="1">
    <w:name w:val="WW8Num38z3"/>
    <w:qFormat/>
    <w:rPr>
      <w:rFonts w:ascii="Symbol" w:hAnsi="Symbol" w:cs="Symbol"/>
    </w:rPr>
  </w:style>
  <w:style w:type="character" w:styleId="WW8Num39z0" w:customStyle="1">
    <w:name w:val="WW8Num39z0"/>
    <w:qFormat/>
    <w:rPr>
      <w:rFonts w:ascii="Times New Roman" w:hAnsi="Times New Roman" w:cs="Times New Roman"/>
    </w:rPr>
  </w:style>
  <w:style w:type="character" w:styleId="WW8Num39z1" w:customStyle="1">
    <w:name w:val="WW8Num39z1"/>
    <w:qFormat/>
    <w:rPr>
      <w:rFonts w:ascii="Courier New" w:hAnsi="Courier New" w:cs="Times New Roman"/>
    </w:rPr>
  </w:style>
  <w:style w:type="character" w:styleId="WW8Num39z2" w:customStyle="1">
    <w:name w:val="WW8Num39z2"/>
    <w:qFormat/>
    <w:rPr>
      <w:rFonts w:ascii="Wingdings" w:hAnsi="Wingdings" w:cs="Wingdings"/>
    </w:rPr>
  </w:style>
  <w:style w:type="character" w:styleId="WW8Num39z3" w:customStyle="1">
    <w:name w:val="WW8Num39z3"/>
    <w:qFormat/>
    <w:rPr>
      <w:rFonts w:ascii="Symbol" w:hAnsi="Symbol" w:cs="Symbol"/>
    </w:rPr>
  </w:style>
  <w:style w:type="character" w:styleId="WW8Num40z0" w:customStyle="1">
    <w:name w:val="WW8Num40z0"/>
    <w:qFormat/>
    <w:rPr>
      <w:rFonts w:ascii="Times New Roman" w:hAnsi="Times New Roman" w:cs="Times New Roman"/>
      <w:sz w:val="20"/>
    </w:rPr>
  </w:style>
  <w:style w:type="character" w:styleId="WW8Num40z1" w:customStyle="1">
    <w:name w:val="WW8Num40z1"/>
    <w:qFormat/>
    <w:rPr>
      <w:rFonts w:ascii="Courier New" w:hAnsi="Courier New" w:cs="Courier New"/>
    </w:rPr>
  </w:style>
  <w:style w:type="character" w:styleId="WW8Num40z2" w:customStyle="1">
    <w:name w:val="WW8Num40z2"/>
    <w:qFormat/>
    <w:rPr>
      <w:rFonts w:ascii="Wingdings" w:hAnsi="Wingdings" w:cs="Wingdings"/>
    </w:rPr>
  </w:style>
  <w:style w:type="character" w:styleId="WW8Num40z3" w:customStyle="1">
    <w:name w:val="WW8Num40z3"/>
    <w:qFormat/>
    <w:rPr>
      <w:rFonts w:ascii="Symbol" w:hAnsi="Symbol" w:cs="Symbol"/>
    </w:rPr>
  </w:style>
  <w:style w:type="character" w:styleId="WW8Num41z0" w:customStyle="1">
    <w:name w:val="WW8Num41z0"/>
    <w:qFormat/>
    <w:rPr>
      <w:rFonts w:ascii="Times New Roman" w:hAnsi="Times New Roman" w:cs="Times New Roman"/>
    </w:rPr>
  </w:style>
  <w:style w:type="character" w:styleId="WW8Num41z1" w:customStyle="1">
    <w:name w:val="WW8Num41z1"/>
    <w:qFormat/>
    <w:rPr>
      <w:rFonts w:ascii="Courier New" w:hAnsi="Courier New" w:cs="Courier New"/>
    </w:rPr>
  </w:style>
  <w:style w:type="character" w:styleId="WW8Num41z2" w:customStyle="1">
    <w:name w:val="WW8Num41z2"/>
    <w:qFormat/>
    <w:rPr>
      <w:rFonts w:ascii="Wingdings" w:hAnsi="Wingdings" w:cs="Wingdings"/>
    </w:rPr>
  </w:style>
  <w:style w:type="character" w:styleId="WW8Num41z3" w:customStyle="1">
    <w:name w:val="WW8Num41z3"/>
    <w:qFormat/>
    <w:rPr>
      <w:rFonts w:ascii="Symbol" w:hAnsi="Symbol" w:cs="Symbol"/>
    </w:rPr>
  </w:style>
  <w:style w:type="character" w:styleId="WW8Num42z0" w:customStyle="1">
    <w:name w:val="WW8Num42z0"/>
    <w:qFormat/>
    <w:rPr>
      <w:rFonts w:ascii="Times New Roman" w:hAnsi="Times New Roman" w:cs="Arial"/>
      <w:sz w:val="20"/>
      <w:szCs w:val="22"/>
    </w:rPr>
  </w:style>
  <w:style w:type="character" w:styleId="WW8Num42z1" w:customStyle="1">
    <w:name w:val="WW8Num42z1"/>
    <w:qFormat/>
    <w:rPr>
      <w:rFonts w:ascii="Courier New" w:hAnsi="Courier New" w:cs="Courier New"/>
    </w:rPr>
  </w:style>
  <w:style w:type="character" w:styleId="WW8Num42z2" w:customStyle="1">
    <w:name w:val="WW8Num42z2"/>
    <w:qFormat/>
    <w:rPr>
      <w:rFonts w:ascii="Wingdings" w:hAnsi="Wingdings" w:cs="Wingdings"/>
    </w:rPr>
  </w:style>
  <w:style w:type="character" w:styleId="WW8Num42z3" w:customStyle="1">
    <w:name w:val="WW8Num42z3"/>
    <w:qFormat/>
    <w:rPr>
      <w:rFonts w:ascii="Symbol" w:hAnsi="Symbol" w:cs="Symbol"/>
    </w:rPr>
  </w:style>
  <w:style w:type="character" w:styleId="WW8Num43z0" w:customStyle="1">
    <w:name w:val="WW8Num43z0"/>
    <w:qFormat/>
    <w:rPr>
      <w:rFonts w:ascii="Times New Roman" w:hAnsi="Times New Roman" w:cs="Arial"/>
    </w:rPr>
  </w:style>
  <w:style w:type="character" w:styleId="WW8Num43z1" w:customStyle="1">
    <w:name w:val="WW8Num43z1"/>
    <w:qFormat/>
    <w:rPr>
      <w:rFonts w:ascii="Courier New" w:hAnsi="Courier New" w:cs="Courier New"/>
    </w:rPr>
  </w:style>
  <w:style w:type="character" w:styleId="WW8Num43z2" w:customStyle="1">
    <w:name w:val="WW8Num43z2"/>
    <w:qFormat/>
    <w:rPr>
      <w:rFonts w:ascii="Wingdings" w:hAnsi="Wingdings" w:cs="Wingdings"/>
    </w:rPr>
  </w:style>
  <w:style w:type="character" w:styleId="WW8Num43z3" w:customStyle="1">
    <w:name w:val="WW8Num43z3"/>
    <w:qFormat/>
    <w:rPr>
      <w:rFonts w:ascii="Symbol" w:hAnsi="Symbol" w:cs="Symbol"/>
    </w:rPr>
  </w:style>
  <w:style w:type="character" w:styleId="WW8Num44z0" w:customStyle="1">
    <w:name w:val="WW8Num44z0"/>
    <w:qFormat/>
    <w:rPr>
      <w:rFonts w:ascii="Times New Roman" w:hAnsi="Times New Roman" w:cs="Times New Roman"/>
    </w:rPr>
  </w:style>
  <w:style w:type="character" w:styleId="WW8Num44z1" w:customStyle="1">
    <w:name w:val="WW8Num44z1"/>
    <w:qFormat/>
    <w:rPr>
      <w:rFonts w:ascii="Courier New" w:hAnsi="Courier New" w:cs="Courier New"/>
    </w:rPr>
  </w:style>
  <w:style w:type="character" w:styleId="WW8Num44z2" w:customStyle="1">
    <w:name w:val="WW8Num44z2"/>
    <w:qFormat/>
    <w:rPr>
      <w:rFonts w:ascii="Wingdings" w:hAnsi="Wingdings" w:cs="Wingdings"/>
    </w:rPr>
  </w:style>
  <w:style w:type="character" w:styleId="WW8Num44z3" w:customStyle="1">
    <w:name w:val="WW8Num44z3"/>
    <w:qFormat/>
    <w:rPr>
      <w:rFonts w:ascii="Symbol" w:hAnsi="Symbol" w:cs="Symbol"/>
    </w:rPr>
  </w:style>
  <w:style w:type="character" w:styleId="WW8Num45z0" w:customStyle="1">
    <w:name w:val="WW8Num45z0"/>
    <w:qFormat/>
    <w:rPr>
      <w:rFonts w:ascii="Times New Roman" w:hAnsi="Times New Roman" w:cs="Wingdings 2"/>
    </w:rPr>
  </w:style>
  <w:style w:type="character" w:styleId="WW8Num45z1" w:customStyle="1">
    <w:name w:val="WW8Num45z1"/>
    <w:qFormat/>
    <w:rPr>
      <w:rFonts w:ascii="Courier New" w:hAnsi="Courier New" w:cs="Courier New"/>
    </w:rPr>
  </w:style>
  <w:style w:type="character" w:styleId="WW8Num45z2" w:customStyle="1">
    <w:name w:val="WW8Num45z2"/>
    <w:qFormat/>
    <w:rPr>
      <w:rFonts w:ascii="Wingdings" w:hAnsi="Wingdings" w:cs="Wingdings"/>
    </w:rPr>
  </w:style>
  <w:style w:type="character" w:styleId="WW8Num45z3" w:customStyle="1">
    <w:name w:val="WW8Num45z3"/>
    <w:qFormat/>
    <w:rPr>
      <w:rFonts w:ascii="Symbol" w:hAnsi="Symbol" w:cs="Symbol"/>
    </w:rPr>
  </w:style>
  <w:style w:type="character" w:styleId="WW8Num46z0" w:customStyle="1">
    <w:name w:val="WW8Num46z0"/>
    <w:qFormat/>
    <w:rPr>
      <w:rFonts w:ascii="Times New Roman" w:hAnsi="Times New Roman" w:cs="Arial"/>
      <w:sz w:val="20"/>
      <w:szCs w:val="22"/>
    </w:rPr>
  </w:style>
  <w:style w:type="character" w:styleId="WW8Num46z1" w:customStyle="1">
    <w:name w:val="WW8Num46z1"/>
    <w:qFormat/>
    <w:rPr>
      <w:rFonts w:ascii="Courier New" w:hAnsi="Courier New" w:cs="Courier New"/>
    </w:rPr>
  </w:style>
  <w:style w:type="character" w:styleId="WW8Num46z2" w:customStyle="1">
    <w:name w:val="WW8Num46z2"/>
    <w:qFormat/>
    <w:rPr>
      <w:rFonts w:ascii="Wingdings" w:hAnsi="Wingdings" w:cs="Wingdings"/>
    </w:rPr>
  </w:style>
  <w:style w:type="character" w:styleId="WW8Num46z3" w:customStyle="1">
    <w:name w:val="WW8Num46z3"/>
    <w:qFormat/>
    <w:rPr>
      <w:rFonts w:ascii="Symbol" w:hAnsi="Symbol" w:cs="Symbol"/>
    </w:rPr>
  </w:style>
  <w:style w:type="character" w:styleId="WW8Num47z0" w:customStyle="1">
    <w:name w:val="WW8Num47z0"/>
    <w:qFormat/>
    <w:rPr>
      <w:rFonts w:ascii="Symbol" w:hAnsi="Symbol" w:cs="Times New Roman"/>
      <w:color w:val="000000"/>
      <w:sz w:val="20"/>
      <w:szCs w:val="22"/>
    </w:rPr>
  </w:style>
  <w:style w:type="character" w:styleId="WW8Num48z0" w:customStyle="1">
    <w:name w:val="WW8Num48z0"/>
    <w:qFormat/>
    <w:rPr>
      <w:rFonts w:ascii="Symbol" w:hAnsi="Symbol" w:cs="Times New Roman"/>
      <w:color w:val="000000"/>
      <w:sz w:val="24"/>
      <w:szCs w:val="24"/>
    </w:rPr>
  </w:style>
  <w:style w:type="character" w:styleId="WW8Num49z0" w:customStyle="1">
    <w:name w:val="WW8Num49z0"/>
    <w:qFormat/>
    <w:rPr>
      <w:rFonts w:ascii="Symbol" w:hAnsi="Symbol" w:cs="Times New Roman"/>
    </w:rPr>
  </w:style>
  <w:style w:type="character" w:styleId="WW8Num49z1" w:customStyle="1">
    <w:name w:val="WW8Num49z1"/>
    <w:qFormat/>
    <w:rPr>
      <w:rFonts w:ascii="OpenSymbol;Arial Unicode MS" w:hAnsi="OpenSymbol;Arial Unicode MS" w:cs="Courier New"/>
    </w:rPr>
  </w:style>
  <w:style w:type="character" w:styleId="WW8Num50z0" w:customStyle="1">
    <w:name w:val="WW8Num50z0"/>
    <w:qFormat/>
    <w:rPr>
      <w:rFonts w:ascii="Symbol" w:hAnsi="Symbol" w:cs="Times New Roman"/>
      <w:szCs w:val="22"/>
    </w:rPr>
  </w:style>
  <w:style w:type="character" w:styleId="WW8Num50z1" w:customStyle="1">
    <w:name w:val="WW8Num50z1"/>
    <w:qFormat/>
    <w:rPr>
      <w:rFonts w:ascii="OpenSymbol;Arial Unicode MS" w:hAnsi="OpenSymbol;Arial Unicode MS" w:cs="Courier New"/>
    </w:rPr>
  </w:style>
  <w:style w:type="character" w:styleId="WW8Num51z0" w:customStyle="1">
    <w:name w:val="WW8Num51z0"/>
    <w:qFormat/>
    <w:rPr>
      <w:rFonts w:ascii="Symbol" w:hAnsi="Symbol" w:cs="Times New Roman"/>
      <w:sz w:val="24"/>
      <w:szCs w:val="22"/>
    </w:rPr>
  </w:style>
  <w:style w:type="character" w:styleId="WW8Num51z1" w:customStyle="1">
    <w:name w:val="WW8Num51z1"/>
    <w:qFormat/>
    <w:rPr>
      <w:rFonts w:ascii="OpenSymbol;Arial Unicode MS" w:hAnsi="OpenSymbol;Arial Unicode MS" w:cs="Courier New"/>
    </w:rPr>
  </w:style>
  <w:style w:type="character" w:styleId="WW8Num52z0" w:customStyle="1">
    <w:name w:val="WW8Num52z0"/>
    <w:qFormat/>
    <w:rPr>
      <w:rFonts w:ascii="Symbol" w:hAnsi="Symbol" w:cs="Times New Roman"/>
    </w:rPr>
  </w:style>
  <w:style w:type="character" w:styleId="WW8Num52z1" w:customStyle="1">
    <w:name w:val="WW8Num52z1"/>
    <w:qFormat/>
    <w:rPr>
      <w:rFonts w:ascii="OpenSymbol;Arial Unicode MS" w:hAnsi="OpenSymbol;Arial Unicode MS" w:cs="Courier New"/>
    </w:rPr>
  </w:style>
  <w:style w:type="character" w:styleId="WW8Num47z1" w:customStyle="1">
    <w:name w:val="WW8Num47z1"/>
    <w:qFormat/>
    <w:rPr>
      <w:rFonts w:ascii="Courier New" w:hAnsi="Courier New" w:cs="Courier New"/>
    </w:rPr>
  </w:style>
  <w:style w:type="character" w:styleId="WW8Num47z2" w:customStyle="1">
    <w:name w:val="WW8Num47z2"/>
    <w:qFormat/>
    <w:rPr>
      <w:rFonts w:ascii="Wingdings" w:hAnsi="Wingdings" w:cs="Wingdings"/>
    </w:rPr>
  </w:style>
  <w:style w:type="character" w:styleId="WW8Num47z3" w:customStyle="1">
    <w:name w:val="WW8Num47z3"/>
    <w:qFormat/>
    <w:rPr>
      <w:rFonts w:ascii="Symbol" w:hAnsi="Symbol" w:cs="Symbol"/>
    </w:rPr>
  </w:style>
  <w:style w:type="character" w:styleId="WW8Num53z0" w:customStyle="1">
    <w:name w:val="WW8Num53z0"/>
    <w:qFormat/>
    <w:rPr>
      <w:rFonts w:ascii="Times New Roman" w:hAnsi="Times New Roman" w:cs="Times New Roman"/>
    </w:rPr>
  </w:style>
  <w:style w:type="character" w:styleId="WW8Num53z1" w:customStyle="1">
    <w:name w:val="WW8Num53z1"/>
    <w:qFormat/>
    <w:rPr>
      <w:rFonts w:ascii="Courier New" w:hAnsi="Courier New" w:cs="Courier New"/>
    </w:rPr>
  </w:style>
  <w:style w:type="character" w:styleId="WW8Num48z1" w:customStyle="1">
    <w:name w:val="WW8Num48z1"/>
    <w:qFormat/>
    <w:rPr>
      <w:rFonts w:ascii="Courier New" w:hAnsi="Courier New" w:cs="Courier New"/>
    </w:rPr>
  </w:style>
  <w:style w:type="character" w:styleId="WW8Num48z2" w:customStyle="1">
    <w:name w:val="WW8Num48z2"/>
    <w:qFormat/>
    <w:rPr>
      <w:rFonts w:ascii="Wingdings" w:hAnsi="Wingdings" w:cs="Wingdings"/>
    </w:rPr>
  </w:style>
  <w:style w:type="character" w:styleId="WW8Num48z3" w:customStyle="1">
    <w:name w:val="WW8Num48z3"/>
    <w:qFormat/>
    <w:rPr>
      <w:rFonts w:ascii="Symbol" w:hAnsi="Symbol" w:cs="Symbol"/>
    </w:rPr>
  </w:style>
  <w:style w:type="character" w:styleId="WW8Num49z2" w:customStyle="1">
    <w:name w:val="WW8Num49z2"/>
    <w:qFormat/>
    <w:rPr>
      <w:rFonts w:ascii="Wingdings" w:hAnsi="Wingdings" w:cs="Wingdings"/>
    </w:rPr>
  </w:style>
  <w:style w:type="character" w:styleId="WW8Num49z3" w:customStyle="1">
    <w:name w:val="WW8Num49z3"/>
    <w:qFormat/>
    <w:rPr>
      <w:rFonts w:ascii="Symbol" w:hAnsi="Symbol" w:cs="Symbol"/>
    </w:rPr>
  </w:style>
  <w:style w:type="character" w:styleId="WW8Num50z2" w:customStyle="1">
    <w:name w:val="WW8Num50z2"/>
    <w:qFormat/>
    <w:rPr>
      <w:rFonts w:ascii="Wingdings" w:hAnsi="Wingdings" w:cs="Wingdings"/>
    </w:rPr>
  </w:style>
  <w:style w:type="character" w:styleId="WW8Num50z3" w:customStyle="1">
    <w:name w:val="WW8Num50z3"/>
    <w:qFormat/>
    <w:rPr>
      <w:rFonts w:ascii="Symbol" w:hAnsi="Symbol" w:cs="Symbol"/>
    </w:rPr>
  </w:style>
  <w:style w:type="character" w:styleId="WW8Num51z2" w:customStyle="1">
    <w:name w:val="WW8Num51z2"/>
    <w:qFormat/>
    <w:rPr>
      <w:rFonts w:ascii="Wingdings" w:hAnsi="Wingdings" w:cs="Wingdings"/>
    </w:rPr>
  </w:style>
  <w:style w:type="character" w:styleId="WW8Num51z3" w:customStyle="1">
    <w:name w:val="WW8Num51z3"/>
    <w:qFormat/>
    <w:rPr>
      <w:rFonts w:ascii="Symbol" w:hAnsi="Symbol" w:cs="Symbol"/>
    </w:rPr>
  </w:style>
  <w:style w:type="character" w:styleId="WW8Num52z2" w:customStyle="1">
    <w:name w:val="WW8Num52z2"/>
    <w:qFormat/>
    <w:rPr>
      <w:rFonts w:ascii="Wingdings" w:hAnsi="Wingdings" w:cs="Wingdings"/>
    </w:rPr>
  </w:style>
  <w:style w:type="character" w:styleId="WW8Num52z3" w:customStyle="1">
    <w:name w:val="WW8Num52z3"/>
    <w:qFormat/>
    <w:rPr>
      <w:rFonts w:ascii="Symbol" w:hAnsi="Symbol" w:cs="Symbol"/>
    </w:rPr>
  </w:style>
  <w:style w:type="character" w:styleId="WW8Num53z2" w:customStyle="1">
    <w:name w:val="WW8Num53z2"/>
    <w:qFormat/>
    <w:rPr>
      <w:rFonts w:ascii="Wingdings" w:hAnsi="Wingdings" w:cs="Wingdings"/>
    </w:rPr>
  </w:style>
  <w:style w:type="character" w:styleId="WW8Num53z3" w:customStyle="1">
    <w:name w:val="WW8Num53z3"/>
    <w:qFormat/>
    <w:rPr>
      <w:rFonts w:ascii="Symbol" w:hAnsi="Symbol" w:cs="Symbol"/>
    </w:rPr>
  </w:style>
  <w:style w:type="character" w:styleId="WW8Num54z0" w:customStyle="1">
    <w:name w:val="WW8Num54z0"/>
    <w:qFormat/>
    <w:rPr>
      <w:rFonts w:ascii="Times New Roman" w:hAnsi="Times New Roman" w:cs="Times New Roman"/>
    </w:rPr>
  </w:style>
  <w:style w:type="character" w:styleId="WW8Num54z1" w:customStyle="1">
    <w:name w:val="WW8Num54z1"/>
    <w:qFormat/>
    <w:rPr>
      <w:rFonts w:ascii="Courier New" w:hAnsi="Courier New" w:cs="Courier New"/>
    </w:rPr>
  </w:style>
  <w:style w:type="character" w:styleId="WW8Num54z2" w:customStyle="1">
    <w:name w:val="WW8Num54z2"/>
    <w:qFormat/>
    <w:rPr>
      <w:rFonts w:ascii="Wingdings" w:hAnsi="Wingdings" w:cs="Wingdings"/>
    </w:rPr>
  </w:style>
  <w:style w:type="character" w:styleId="WW8Num54z3" w:customStyle="1">
    <w:name w:val="WW8Num54z3"/>
    <w:qFormat/>
    <w:rPr>
      <w:rFonts w:ascii="Symbol" w:hAnsi="Symbol" w:cs="Symbol"/>
    </w:rPr>
  </w:style>
  <w:style w:type="character" w:styleId="WW8Num55z0" w:customStyle="1">
    <w:name w:val="WW8Num55z0"/>
    <w:qFormat/>
    <w:rPr>
      <w:rFonts w:ascii="Times New Roman" w:hAnsi="Times New Roman" w:cs="Times New Roman"/>
    </w:rPr>
  </w:style>
  <w:style w:type="character" w:styleId="WW8Num55z1" w:customStyle="1">
    <w:name w:val="WW8Num55z1"/>
    <w:qFormat/>
    <w:rPr>
      <w:rFonts w:ascii="Courier New" w:hAnsi="Courier New" w:cs="Courier New"/>
    </w:rPr>
  </w:style>
  <w:style w:type="character" w:styleId="WW8Num55z2" w:customStyle="1">
    <w:name w:val="WW8Num55z2"/>
    <w:qFormat/>
    <w:rPr>
      <w:rFonts w:ascii="Wingdings" w:hAnsi="Wingdings" w:cs="Wingdings"/>
    </w:rPr>
  </w:style>
  <w:style w:type="character" w:styleId="WW8Num55z3" w:customStyle="1">
    <w:name w:val="WW8Num55z3"/>
    <w:qFormat/>
    <w:rPr>
      <w:rFonts w:ascii="Symbol" w:hAnsi="Symbol" w:cs="Symbol"/>
    </w:rPr>
  </w:style>
  <w:style w:type="character" w:styleId="WW8Num56z0" w:customStyle="1">
    <w:name w:val="WW8Num56z0"/>
    <w:qFormat/>
    <w:rPr>
      <w:rFonts w:ascii="Arial" w:hAnsi="Arial" w:eastAsia="Times New Roman" w:cs="Arial"/>
      <w:sz w:val="24"/>
      <w:szCs w:val="22"/>
    </w:rPr>
  </w:style>
  <w:style w:type="character" w:styleId="WW8Num57z0" w:customStyle="1">
    <w:name w:val="WW8Num57z0"/>
    <w:qFormat/>
    <w:rPr>
      <w:rFonts w:ascii="Arial" w:hAnsi="Arial" w:eastAsia="Times New Roman" w:cs="Arial"/>
      <w:szCs w:val="22"/>
    </w:rPr>
  </w:style>
  <w:style w:type="character" w:styleId="WW8Num57z1" w:customStyle="1">
    <w:name w:val="WW8Num57z1"/>
    <w:qFormat/>
    <w:rPr>
      <w:rFonts w:ascii="Courier New" w:hAnsi="Courier New" w:cs="Courier New"/>
    </w:rPr>
  </w:style>
  <w:style w:type="character" w:styleId="WW8Num57z2" w:customStyle="1">
    <w:name w:val="WW8Num57z2"/>
    <w:qFormat/>
    <w:rPr>
      <w:rFonts w:ascii="Wingdings" w:hAnsi="Wingdings" w:cs="Wingdings"/>
    </w:rPr>
  </w:style>
  <w:style w:type="character" w:styleId="WW8Num57z3" w:customStyle="1">
    <w:name w:val="WW8Num57z3"/>
    <w:qFormat/>
    <w:rPr>
      <w:rFonts w:ascii="Symbol" w:hAnsi="Symbol" w:cs="Symbol"/>
    </w:rPr>
  </w:style>
  <w:style w:type="character" w:styleId="WW8Num58z0" w:customStyle="1">
    <w:name w:val="WW8Num58z0"/>
    <w:qFormat/>
    <w:rPr>
      <w:rFonts w:ascii="Times New Roman" w:hAnsi="Times New Roman" w:eastAsia="Times New Roman" w:cs="Times New Roman"/>
      <w:sz w:val="24"/>
      <w:szCs w:val="18"/>
    </w:rPr>
  </w:style>
  <w:style w:type="character" w:styleId="WW8Num59z0" w:customStyle="1">
    <w:name w:val="WW8Num59z0"/>
    <w:qFormat/>
    <w:rPr>
      <w:rFonts w:ascii="Symbol" w:hAnsi="Symbol" w:cs="Symbol"/>
      <w:color w:val="000000"/>
      <w:sz w:val="28"/>
      <w:szCs w:val="22"/>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56z1" w:customStyle="1">
    <w:name w:val="WW8Num56z1"/>
    <w:qFormat/>
    <w:rPr>
      <w:rFonts w:ascii="Courier New" w:hAnsi="Courier New" w:cs="Courier New"/>
    </w:rPr>
  </w:style>
  <w:style w:type="character" w:styleId="WW8Num56z2" w:customStyle="1">
    <w:name w:val="WW8Num56z2"/>
    <w:qFormat/>
    <w:rPr>
      <w:rFonts w:ascii="Wingdings" w:hAnsi="Wingdings" w:cs="Wingdings"/>
    </w:rPr>
  </w:style>
  <w:style w:type="character" w:styleId="WW8Num56z3" w:customStyle="1">
    <w:name w:val="WW8Num56z3"/>
    <w:qFormat/>
    <w:rPr>
      <w:rFonts w:ascii="Symbol" w:hAnsi="Symbol" w:cs="Symbol"/>
    </w:rPr>
  </w:style>
  <w:style w:type="character" w:styleId="WW8Num58z1" w:customStyle="1">
    <w:name w:val="WW8Num58z1"/>
    <w:qFormat/>
    <w:rPr>
      <w:rFonts w:ascii="Courier New" w:hAnsi="Courier New" w:cs="Courier New"/>
    </w:rPr>
  </w:style>
  <w:style w:type="character" w:styleId="WW8Num58z2" w:customStyle="1">
    <w:name w:val="WW8Num58z2"/>
    <w:qFormat/>
    <w:rPr>
      <w:rFonts w:ascii="Wingdings" w:hAnsi="Wingdings" w:cs="Wingdings"/>
    </w:rPr>
  </w:style>
  <w:style w:type="character" w:styleId="WW8Num58z3" w:customStyle="1">
    <w:name w:val="WW8Num58z3"/>
    <w:qFormat/>
    <w:rPr>
      <w:rFonts w:ascii="Symbol" w:hAnsi="Symbol" w:cs="Symbol"/>
    </w:rPr>
  </w:style>
  <w:style w:type="character" w:styleId="WW8Num59z1" w:customStyle="1">
    <w:name w:val="WW8Num59z1"/>
    <w:qFormat/>
    <w:rPr>
      <w:rFonts w:ascii="Courier New" w:hAnsi="Courier New" w:cs="Courier New"/>
    </w:rPr>
  </w:style>
  <w:style w:type="character" w:styleId="WW8Num59z2" w:customStyle="1">
    <w:name w:val="WW8Num59z2"/>
    <w:qFormat/>
    <w:rPr>
      <w:rFonts w:ascii="Wingdings" w:hAnsi="Wingdings" w:cs="Wingdings"/>
    </w:rPr>
  </w:style>
  <w:style w:type="character" w:styleId="WW8Num59z3" w:customStyle="1">
    <w:name w:val="WW8Num59z3"/>
    <w:qFormat/>
    <w:rPr>
      <w:rFonts w:ascii="Symbol" w:hAnsi="Symbol" w:cs="Symbol"/>
    </w:rPr>
  </w:style>
  <w:style w:type="character" w:styleId="WW8Num60z0" w:customStyle="1">
    <w:name w:val="WW8Num60z0"/>
    <w:qFormat/>
    <w:rPr>
      <w:rFonts w:ascii="Arial" w:hAnsi="Arial" w:eastAsia="Times New Roman" w:cs="Arial"/>
    </w:rPr>
  </w:style>
  <w:style w:type="character" w:styleId="WW8Num60z1" w:customStyle="1">
    <w:name w:val="WW8Num60z1"/>
    <w:qFormat/>
    <w:rPr>
      <w:rFonts w:ascii="Courier New" w:hAnsi="Courier New" w:cs="Courier New"/>
    </w:rPr>
  </w:style>
  <w:style w:type="character" w:styleId="WW8Num60z2" w:customStyle="1">
    <w:name w:val="WW8Num60z2"/>
    <w:qFormat/>
    <w:rPr>
      <w:rFonts w:ascii="Wingdings" w:hAnsi="Wingdings" w:cs="Wingdings"/>
    </w:rPr>
  </w:style>
  <w:style w:type="character" w:styleId="WW8Num60z3" w:customStyle="1">
    <w:name w:val="WW8Num60z3"/>
    <w:qFormat/>
    <w:rPr>
      <w:rFonts w:ascii="Symbol" w:hAnsi="Symbol" w:cs="Symbol"/>
    </w:rPr>
  </w:style>
  <w:style w:type="character" w:styleId="WW8Num61z0" w:customStyle="1">
    <w:name w:val="WW8Num61z0"/>
    <w:qFormat/>
    <w:rPr>
      <w:rFonts w:ascii="Times New Roman" w:hAnsi="Times New Roman" w:eastAsia="Times New Roman" w:cs="Times New Roman"/>
    </w:rPr>
  </w:style>
  <w:style w:type="character" w:styleId="WW8Num61z1" w:customStyle="1">
    <w:name w:val="WW8Num61z1"/>
    <w:qFormat/>
    <w:rPr>
      <w:rFonts w:ascii="Courier New" w:hAnsi="Courier New" w:cs="Courier New"/>
    </w:rPr>
  </w:style>
  <w:style w:type="character" w:styleId="WW8Num61z2" w:customStyle="1">
    <w:name w:val="WW8Num61z2"/>
    <w:qFormat/>
    <w:rPr>
      <w:rFonts w:ascii="Wingdings" w:hAnsi="Wingdings" w:cs="Wingdings"/>
    </w:rPr>
  </w:style>
  <w:style w:type="character" w:styleId="WW8Num61z3" w:customStyle="1">
    <w:name w:val="WW8Num61z3"/>
    <w:qFormat/>
    <w:rPr>
      <w:rFonts w:ascii="Symbol" w:hAnsi="Symbol" w:cs="Symbol"/>
    </w:rPr>
  </w:style>
  <w:style w:type="character" w:styleId="WW8Num62z0" w:customStyle="1">
    <w:name w:val="WW8Num62z0"/>
    <w:qFormat/>
    <w:rPr>
      <w:rFonts w:ascii="Symbol" w:hAnsi="Symbol" w:cs="Symbol"/>
      <w:color w:val="000000"/>
    </w:rPr>
  </w:style>
  <w:style w:type="character" w:styleId="WW8Num62z1" w:customStyle="1">
    <w:name w:val="WW8Num62z1"/>
    <w:qFormat/>
    <w:rPr>
      <w:rFonts w:ascii="Arial" w:hAnsi="Arial" w:eastAsia="Times New Roman" w:cs="Arial"/>
    </w:rPr>
  </w:style>
  <w:style w:type="character" w:styleId="WW8Num62z2" w:customStyle="1">
    <w:name w:val="WW8Num62z2"/>
    <w:qFormat/>
    <w:rPr>
      <w:rFonts w:ascii="Wingdings" w:hAnsi="Wingdings" w:cs="Wingdings"/>
    </w:rPr>
  </w:style>
  <w:style w:type="character" w:styleId="WW8Num62z3" w:customStyle="1">
    <w:name w:val="WW8Num62z3"/>
    <w:qFormat/>
    <w:rPr>
      <w:rFonts w:ascii="Symbol" w:hAnsi="Symbol" w:cs="Symbol"/>
    </w:rPr>
  </w:style>
  <w:style w:type="character" w:styleId="WW8Num62z4" w:customStyle="1">
    <w:name w:val="WW8Num62z4"/>
    <w:qFormat/>
    <w:rPr>
      <w:rFonts w:ascii="Courier New" w:hAnsi="Courier New" w:cs="Courier New"/>
    </w:rPr>
  </w:style>
  <w:style w:type="character" w:styleId="WW8Num63z0" w:customStyle="1">
    <w:name w:val="WW8Num63z0"/>
    <w:qFormat/>
    <w:rPr>
      <w:rFonts w:ascii="Symbol" w:hAnsi="Symbol" w:cs="Symbol"/>
      <w:color w:val="000000"/>
      <w:sz w:val="28"/>
    </w:rPr>
  </w:style>
  <w:style w:type="character" w:styleId="WW8Num63z1" w:customStyle="1">
    <w:name w:val="WW8Num63z1"/>
    <w:qFormat/>
    <w:rPr>
      <w:rFonts w:ascii="Courier New" w:hAnsi="Courier New" w:cs="Courier New"/>
    </w:rPr>
  </w:style>
  <w:style w:type="character" w:styleId="WW8Num63z2" w:customStyle="1">
    <w:name w:val="WW8Num63z2"/>
    <w:qFormat/>
    <w:rPr>
      <w:rFonts w:ascii="Wingdings" w:hAnsi="Wingdings" w:cs="Wingdings"/>
    </w:rPr>
  </w:style>
  <w:style w:type="character" w:styleId="WW8Num63z3" w:customStyle="1">
    <w:name w:val="WW8Num63z3"/>
    <w:qFormat/>
    <w:rPr>
      <w:rFonts w:ascii="Symbol" w:hAnsi="Symbol" w:cs="Symbol"/>
    </w:rPr>
  </w:style>
  <w:style w:type="character" w:styleId="WW-Policepardfaut" w:customStyle="1">
    <w:name w:val="WW-Police par défaut"/>
    <w:qFormat/>
    <w:rPr/>
  </w:style>
  <w:style w:type="character" w:styleId="Pagenumber">
    <w:name w:val="page number"/>
    <w:basedOn w:val="WW-Policepardfaut"/>
    <w:qFormat/>
    <w:rPr/>
  </w:style>
  <w:style w:type="character" w:styleId="LienInternet" w:customStyle="1">
    <w:name w:val="Hyperlink"/>
    <w:basedOn w:val="WW-Policepardfaut"/>
    <w:rPr>
      <w:color w:val="0000FF"/>
      <w:u w:val="single"/>
    </w:rPr>
  </w:style>
  <w:style w:type="character" w:styleId="LienInternetvisit" w:customStyle="1">
    <w:name w:val="FollowedHyperlink"/>
    <w:basedOn w:val="WW-Policepardfaut"/>
    <w:rPr>
      <w:color w:val="800080"/>
      <w:u w:val="single"/>
    </w:rPr>
  </w:style>
  <w:style w:type="character" w:styleId="Accentuation">
    <w:name w:val="Emphasis"/>
    <w:basedOn w:val="WW-Policepardfaut"/>
    <w:qFormat/>
    <w:rPr>
      <w:i/>
      <w:iCs/>
    </w:rPr>
  </w:style>
  <w:style w:type="character" w:styleId="WW-Policepardfaut1" w:customStyle="1">
    <w:name w:val="WW-Police par défau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8Num13z4" w:customStyle="1">
    <w:name w:val="WW8Num13z4"/>
    <w:qFormat/>
    <w:rPr>
      <w:rFonts w:ascii="Courier New" w:hAnsi="Courier New" w:cs="Courier New"/>
    </w:rPr>
  </w:style>
  <w:style w:type="character" w:styleId="WW8Num17z4" w:customStyle="1">
    <w:name w:val="WW8Num17z4"/>
    <w:qFormat/>
    <w:rPr>
      <w:rFonts w:ascii="Courier New" w:hAnsi="Courier New" w:cs="Courier New"/>
    </w:rPr>
  </w:style>
  <w:style w:type="character" w:styleId="WW8Num18z4" w:customStyle="1">
    <w:name w:val="WW8Num18z4"/>
    <w:qFormat/>
    <w:rPr>
      <w:rFonts w:ascii="Courier New" w:hAnsi="Courier New" w:cs="Courier New"/>
    </w:rPr>
  </w:style>
  <w:style w:type="character" w:styleId="WW8Num21z4" w:customStyle="1">
    <w:name w:val="WW8Num21z4"/>
    <w:qFormat/>
    <w:rPr>
      <w:rFonts w:ascii="Courier New" w:hAnsi="Courier New" w:cs="Courier New"/>
    </w:rPr>
  </w:style>
  <w:style w:type="character" w:styleId="WW8Num22z4" w:customStyle="1">
    <w:name w:val="WW8Num22z4"/>
    <w:qFormat/>
    <w:rPr>
      <w:rFonts w:ascii="Courier New" w:hAnsi="Courier New" w:cs="Courier New"/>
    </w:rPr>
  </w:style>
  <w:style w:type="character" w:styleId="WW8Num25z4" w:customStyle="1">
    <w:name w:val="WW8Num25z4"/>
    <w:qFormat/>
    <w:rPr>
      <w:rFonts w:ascii="Courier New" w:hAnsi="Courier New" w:cs="Courier New"/>
    </w:rPr>
  </w:style>
  <w:style w:type="character" w:styleId="WW8Num33z4" w:customStyle="1">
    <w:name w:val="WW8Num33z4"/>
    <w:qFormat/>
    <w:rPr>
      <w:rFonts w:ascii="Courier New" w:hAnsi="Courier New" w:cs="Courier New"/>
    </w:rPr>
  </w:style>
  <w:style w:type="character" w:styleId="WW8Num35z4" w:customStyle="1">
    <w:name w:val="WW8Num35z4"/>
    <w:qFormat/>
    <w:rPr>
      <w:rFonts w:ascii="Courier New" w:hAnsi="Courier New" w:cs="Courier New"/>
    </w:rPr>
  </w:style>
  <w:style w:type="character" w:styleId="WW8Num39z4" w:customStyle="1">
    <w:name w:val="WW8Num39z4"/>
    <w:qFormat/>
    <w:rPr>
      <w:rFonts w:ascii="Courier New" w:hAnsi="Courier New" w:cs="Courier New"/>
    </w:rPr>
  </w:style>
  <w:style w:type="character" w:styleId="Strong" w:customStyle="1">
    <w:name w:val="Strong"/>
    <w:qFormat/>
    <w:rPr>
      <w:b/>
      <w:bCs/>
    </w:rPr>
  </w:style>
  <w:style w:type="character" w:styleId="Caractresdenumrotation" w:customStyle="1">
    <w:name w:val="Caractères de numérotation"/>
    <w:qFormat/>
    <w:rPr/>
  </w:style>
  <w:style w:type="character" w:styleId="Puces" w:customStyle="1">
    <w:name w:val="Puces"/>
    <w:qFormat/>
    <w:rPr>
      <w:rFonts w:ascii="OpenSymbol;Arial Unicode MS" w:hAnsi="OpenSymbol;Arial Unicode MS" w:eastAsia="OpenSymbol;Arial Unicode MS" w:cs="OpenSymbol;Arial Unicode MS"/>
    </w:rPr>
  </w:style>
  <w:style w:type="character" w:styleId="TextedebullesCar" w:customStyle="1">
    <w:name w:val="Texte de bulles Car"/>
    <w:basedOn w:val="DefaultParagraphFont"/>
    <w:uiPriority w:val="99"/>
    <w:semiHidden/>
    <w:qFormat/>
    <w:rsid w:val="004c0278"/>
    <w:rPr>
      <w:rFonts w:ascii="Segoe UI" w:hAnsi="Segoe UI" w:eastAsia="Times New Roman" w:cs="Segoe UI"/>
      <w:sz w:val="18"/>
      <w:szCs w:val="18"/>
      <w:lang w:bidi="ar-SA"/>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jc w:val="both"/>
    </w:pPr>
    <w:rPr>
      <w:rFonts w:cs="Arial"/>
      <w:sz w:val="18"/>
      <w:szCs w:val="18"/>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ascii="Liberation Sans;Arial" w:hAnsi="Liberation Sans;Arial" w:cs="Tahoma"/>
    </w:rPr>
  </w:style>
  <w:style w:type="paragraph" w:styleId="Titreprincipal">
    <w:name w:val="Title"/>
    <w:basedOn w:val="Normal"/>
    <w:qFormat/>
    <w:pPr>
      <w:ind w:left="851" w:right="1236" w:hanging="0"/>
      <w:jc w:val="center"/>
    </w:pPr>
    <w:rPr>
      <w:rFonts w:cs="Arial"/>
      <w:b/>
      <w:bCs/>
      <w:color w:val="0000FF"/>
      <w:sz w:val="32"/>
      <w:szCs w:val="32"/>
    </w:rPr>
  </w:style>
  <w:style w:type="paragraph" w:styleId="Sous-titre">
    <w:name w:val="Subtitle"/>
    <w:basedOn w:val="Titreprincipal"/>
    <w:qFormat/>
    <w:pPr/>
    <w:rPr>
      <w:i/>
      <w:iCs/>
      <w:sz w:val="28"/>
      <w:szCs w:val="28"/>
    </w:rPr>
  </w:style>
  <w:style w:type="paragraph" w:styleId="Caption">
    <w:name w:val="caption"/>
    <w:basedOn w:val="Normal"/>
    <w:qFormat/>
    <w:pPr>
      <w:suppressLineNumbers/>
      <w:spacing w:before="120" w:after="120"/>
    </w:pPr>
    <w:rPr>
      <w:rFonts w:cs="Tahoma"/>
      <w:i/>
      <w:iCs/>
      <w:sz w:val="24"/>
      <w:szCs w:val="24"/>
    </w:rPr>
  </w:style>
  <w:style w:type="paragraph" w:styleId="Retraitdecorpsdetexte">
    <w:name w:val="Body Text Indent"/>
    <w:basedOn w:val="Normal"/>
    <w:pPr>
      <w:ind w:left="567" w:hanging="0"/>
    </w:pPr>
    <w:rPr>
      <w:rFonts w:ascii="Times New Roman" w:hAnsi="Times New Roman"/>
      <w:szCs w:val="18"/>
    </w:rPr>
  </w:style>
  <w:style w:type="paragraph" w:styleId="En-tteetpieddepage">
    <w:name w:val="En-tête et pied de page"/>
    <w:basedOn w:val="Normal"/>
    <w:qFormat/>
    <w:pPr/>
    <w:rPr/>
  </w:style>
  <w:style w:type="paragraph" w:styleId="En-tte">
    <w:name w:val="Header"/>
    <w:basedOn w:val="Normal"/>
    <w:pPr>
      <w:tabs>
        <w:tab w:val="clear" w:pos="709"/>
        <w:tab w:val="center" w:pos="4536" w:leader="none"/>
        <w:tab w:val="right" w:pos="9072" w:leader="none"/>
      </w:tabs>
    </w:pPr>
    <w:rPr/>
  </w:style>
  <w:style w:type="paragraph" w:styleId="Pieddepage">
    <w:name w:val="Footer"/>
    <w:basedOn w:val="Normal"/>
    <w:pPr>
      <w:tabs>
        <w:tab w:val="clear" w:pos="709"/>
        <w:tab w:val="center" w:pos="4536" w:leader="none"/>
        <w:tab w:val="right" w:pos="9072" w:leader="none"/>
      </w:tabs>
      <w:overflowPunct w:val="true"/>
      <w:textAlignment w:val="auto"/>
    </w:pPr>
    <w:rPr>
      <w:rFonts w:ascii="Times New Roman" w:hAnsi="Times New Roman"/>
      <w:sz w:val="24"/>
      <w:szCs w:val="24"/>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i/>
      <w:iCs/>
    </w:rPr>
  </w:style>
  <w:style w:type="paragraph" w:styleId="Contenuducadre" w:customStyle="1">
    <w:name w:val="Contenu du cadre"/>
    <w:basedOn w:val="Corpsdetexte"/>
    <w:qFormat/>
    <w:pPr/>
    <w:rPr/>
  </w:style>
  <w:style w:type="paragraph" w:styleId="Rpertoire" w:customStyle="1">
    <w:name w:val="Répertoire"/>
    <w:basedOn w:val="Normal"/>
    <w:qFormat/>
    <w:pPr>
      <w:suppressLineNumbers/>
    </w:pPr>
    <w:rPr>
      <w:rFonts w:cs="Tahoma"/>
    </w:rPr>
  </w:style>
  <w:style w:type="paragraph" w:styleId="ListBullet">
    <w:name w:val="List Bullet"/>
    <w:basedOn w:val="Normal"/>
    <w:qFormat/>
    <w:pPr>
      <w:tabs>
        <w:tab w:val="clear" w:pos="709"/>
        <w:tab w:val="left" w:pos="284" w:leader="none"/>
      </w:tabs>
      <w:overflowPunct w:val="true"/>
      <w:textAlignment w:val="auto"/>
    </w:pPr>
    <w:rPr>
      <w:rFonts w:ascii="Times New Roman" w:hAnsi="Times New Roman"/>
      <w:sz w:val="24"/>
      <w:szCs w:val="24"/>
    </w:rPr>
  </w:style>
  <w:style w:type="paragraph" w:styleId="ListBullet2">
    <w:name w:val="List Bullet 2"/>
    <w:basedOn w:val="Normal"/>
    <w:qFormat/>
    <w:pPr>
      <w:tabs>
        <w:tab w:val="clear" w:pos="709"/>
        <w:tab w:val="left" w:pos="851" w:leader="none"/>
        <w:tab w:val="left" w:pos="927" w:leader="none"/>
      </w:tabs>
      <w:overflowPunct w:val="true"/>
      <w:ind w:left="284" w:hanging="0"/>
      <w:textAlignment w:val="auto"/>
    </w:pPr>
    <w:rPr>
      <w:rFonts w:ascii="Times New Roman" w:hAnsi="Times New Roman"/>
      <w:sz w:val="24"/>
      <w:szCs w:val="24"/>
    </w:rPr>
  </w:style>
  <w:style w:type="paragraph" w:styleId="ListBullet3">
    <w:name w:val="List Bullet 3"/>
    <w:basedOn w:val="Normal"/>
    <w:qFormat/>
    <w:pPr>
      <w:tabs>
        <w:tab w:val="clear" w:pos="709"/>
        <w:tab w:val="left" w:pos="1134" w:leader="none"/>
        <w:tab w:val="left" w:pos="1211" w:leader="none"/>
      </w:tabs>
      <w:overflowPunct w:val="true"/>
      <w:ind w:left="285" w:hanging="0"/>
      <w:textAlignment w:val="auto"/>
    </w:pPr>
    <w:rPr>
      <w:rFonts w:ascii="Times New Roman" w:hAnsi="Times New Roman"/>
      <w:sz w:val="24"/>
      <w:szCs w:val="24"/>
    </w:rPr>
  </w:style>
  <w:style w:type="paragraph" w:styleId="Xl29" w:customStyle="1">
    <w:name w:val="xl29"/>
    <w:basedOn w:val="Normal"/>
    <w:qFormat/>
    <w:pPr>
      <w:pBdr>
        <w:left w:val="single" w:sz="8" w:space="0" w:color="000001"/>
      </w:pBdr>
      <w:overflowPunct w:val="true"/>
      <w:spacing w:before="100" w:after="100"/>
      <w:textAlignment w:val="auto"/>
    </w:pPr>
    <w:rPr>
      <w:rFonts w:eastAsia="Arial Unicode MS" w:cs="Arial"/>
      <w:b/>
      <w:bCs/>
      <w:sz w:val="18"/>
      <w:szCs w:val="18"/>
    </w:rPr>
  </w:style>
  <w:style w:type="paragraph" w:styleId="Xl31" w:customStyle="1">
    <w:name w:val="xl31"/>
    <w:basedOn w:val="Normal"/>
    <w:qFormat/>
    <w:pPr>
      <w:pBdr>
        <w:left w:val="single" w:sz="8" w:space="0" w:color="000001"/>
      </w:pBdr>
      <w:overflowPunct w:val="true"/>
      <w:spacing w:before="100" w:after="100"/>
      <w:textAlignment w:val="auto"/>
    </w:pPr>
    <w:rPr>
      <w:rFonts w:eastAsia="Arial Unicode MS" w:cs="Arial"/>
      <w:sz w:val="18"/>
      <w:szCs w:val="18"/>
    </w:rPr>
  </w:style>
  <w:style w:type="paragraph" w:styleId="NormalWeb">
    <w:name w:val="Normal (Web)"/>
    <w:basedOn w:val="Normal"/>
    <w:qFormat/>
    <w:pPr>
      <w:overflowPunct w:val="true"/>
      <w:spacing w:before="100" w:after="119"/>
      <w:textAlignment w:val="auto"/>
    </w:pPr>
    <w:rPr>
      <w:rFonts w:ascii="Arial Unicode MS" w:hAnsi="Arial Unicode MS" w:eastAsia="Arial Unicode MS" w:cs="Arial Unicode MS"/>
      <w:sz w:val="24"/>
      <w:szCs w:val="24"/>
    </w:rPr>
  </w:style>
  <w:style w:type="paragraph" w:styleId="BodyText2">
    <w:name w:val="Body Text 2"/>
    <w:basedOn w:val="Normal"/>
    <w:qFormat/>
    <w:pPr/>
    <w:rPr>
      <w:rFonts w:ascii="Times New Roman" w:hAnsi="Times New Roman"/>
      <w:sz w:val="26"/>
      <w:szCs w:val="26"/>
    </w:rPr>
  </w:style>
  <w:style w:type="paragraph" w:styleId="BodyText3">
    <w:name w:val="Body Text 3"/>
    <w:basedOn w:val="Normal"/>
    <w:qFormat/>
    <w:pPr>
      <w:jc w:val="both"/>
    </w:pPr>
    <w:rPr>
      <w:rFonts w:ascii="Times New Roman" w:hAnsi="Times New Roman"/>
      <w:color w:val="000000"/>
      <w:szCs w:val="18"/>
    </w:rPr>
  </w:style>
  <w:style w:type="paragraph" w:styleId="BodyTextIndent2">
    <w:name w:val="Body Text Indent 2"/>
    <w:basedOn w:val="Normal"/>
    <w:qFormat/>
    <w:pPr>
      <w:widowControl w:val="false"/>
      <w:ind w:left="284" w:hanging="0"/>
    </w:pPr>
    <w:rPr>
      <w:rFonts w:ascii="Times New Roman" w:hAnsi="Times New Roman"/>
    </w:rPr>
  </w:style>
  <w:style w:type="paragraph" w:styleId="BlockText">
    <w:name w:val="Block Text"/>
    <w:basedOn w:val="Normal"/>
    <w:qFormat/>
    <w:pPr>
      <w:ind w:left="426" w:right="-40" w:hanging="0"/>
    </w:pPr>
    <w:rPr>
      <w:rFonts w:ascii="Times New Roman" w:hAnsi="Times New Roman"/>
      <w:szCs w:val="18"/>
    </w:rPr>
  </w:style>
  <w:style w:type="paragraph" w:styleId="M-service" w:customStyle="1">
    <w:name w:val="m-service"/>
    <w:next w:val="Normal"/>
    <w:qFormat/>
    <w:pPr>
      <w:widowControl/>
      <w:suppressAutoHyphens w:val="true"/>
      <w:overflowPunct w:val="false"/>
      <w:bidi w:val="0"/>
      <w:spacing w:lineRule="atLeast" w:line="260" w:before="0" w:after="0"/>
      <w:jc w:val="left"/>
      <w:textAlignment w:val="baseline"/>
    </w:pPr>
    <w:rPr>
      <w:rFonts w:ascii="Arial Narrow" w:hAnsi="Arial Narrow" w:eastAsia="Times New Roman" w:cs="Times New Roman"/>
      <w:b/>
      <w:color w:val="00000A"/>
      <w:kern w:val="0"/>
      <w:sz w:val="18"/>
      <w:szCs w:val="20"/>
      <w:lang w:val="fr-FR" w:eastAsia="zh-CN" w:bidi="ar-SA"/>
    </w:rPr>
  </w:style>
  <w:style w:type="paragraph" w:styleId="M-logoequipement" w:customStyle="1">
    <w:name w:val="m-logo equipement"/>
    <w:basedOn w:val="Normal"/>
    <w:qFormat/>
    <w:pPr>
      <w:spacing w:before="120" w:after="60"/>
    </w:pPr>
    <w:rPr>
      <w:rFonts w:ascii="Times New Roman" w:hAnsi="Times New Roman"/>
      <w:sz w:val="24"/>
    </w:rPr>
  </w:style>
  <w:style w:type="paragraph" w:styleId="M-servicegris" w:customStyle="1">
    <w:name w:val="m-service gris"/>
    <w:basedOn w:val="M-service"/>
    <w:qFormat/>
    <w:pPr/>
    <w:rPr>
      <w:color w:val="808080"/>
    </w:rPr>
  </w:style>
  <w:style w:type="paragraph" w:styleId="Tiitre4" w:customStyle="1">
    <w:name w:val="Tiitre 4"/>
    <w:basedOn w:val="Normal"/>
    <w:qFormat/>
    <w:pPr>
      <w:overflowPunct w:val="true"/>
      <w:spacing w:before="20" w:after="20"/>
      <w:textAlignment w:val="auto"/>
    </w:pPr>
    <w:rPr>
      <w:rFonts w:cs="Arial"/>
      <w:sz w:val="20"/>
    </w:rPr>
  </w:style>
  <w:style w:type="paragraph" w:styleId="2mepuce" w:customStyle="1">
    <w:name w:val="2ème puce"/>
    <w:basedOn w:val="Normal"/>
    <w:qFormat/>
    <w:pPr>
      <w:overflowPunct w:val="true"/>
      <w:textAlignment w:val="auto"/>
    </w:pPr>
    <w:rPr>
      <w:rFonts w:cs="Arial"/>
      <w:sz w:val="20"/>
    </w:rPr>
  </w:style>
  <w:style w:type="paragraph" w:styleId="Style11" w:customStyle="1">
    <w:name w:val="Style1"/>
    <w:basedOn w:val="2mepuce"/>
    <w:qFormat/>
    <w:pPr>
      <w:ind w:left="567" w:hanging="284"/>
    </w:pPr>
    <w:rPr/>
  </w:style>
  <w:style w:type="paragraph" w:styleId="Pieddepagedroit" w:customStyle="1">
    <w:name w:val="Pied de page droit"/>
    <w:basedOn w:val="Normal"/>
    <w:qFormat/>
    <w:pPr>
      <w:suppressLineNumbers/>
      <w:tabs>
        <w:tab w:val="clear" w:pos="709"/>
        <w:tab w:val="center" w:pos="4747" w:leader="none"/>
        <w:tab w:val="right" w:pos="9495" w:leader="none"/>
      </w:tabs>
    </w:pPr>
    <w:rPr/>
  </w:style>
  <w:style w:type="paragraph" w:styleId="Pieddepagegauche" w:customStyle="1">
    <w:name w:val="Pied de page gauche"/>
    <w:basedOn w:val="Normal"/>
    <w:qFormat/>
    <w:pPr>
      <w:suppressLineNumbers/>
      <w:tabs>
        <w:tab w:val="clear" w:pos="709"/>
        <w:tab w:val="center" w:pos="4747" w:leader="none"/>
        <w:tab w:val="right" w:pos="9495" w:leader="none"/>
      </w:tabs>
    </w:pPr>
    <w:rPr/>
  </w:style>
  <w:style w:type="paragraph" w:styleId="Contenudecadre" w:customStyle="1">
    <w:name w:val="Contenu de cadre"/>
    <w:basedOn w:val="Normal"/>
    <w:qFormat/>
    <w:pPr/>
    <w:rPr/>
  </w:style>
  <w:style w:type="paragraph" w:styleId="Objetavecflche" w:customStyle="1">
    <w:name w:val="Objet avec flèche"/>
    <w:basedOn w:val="Normal"/>
    <w:qFormat/>
    <w:pPr/>
    <w:rPr>
      <w:rFonts w:ascii="Mangal" w:hAnsi="Mangal" w:cs="Mangal"/>
      <w:kern w:val="2"/>
      <w:sz w:val="36"/>
    </w:rPr>
  </w:style>
  <w:style w:type="paragraph" w:styleId="Objetavecombre" w:customStyle="1">
    <w:name w:val="Objet avec ombre"/>
    <w:basedOn w:val="Normal"/>
    <w:qFormat/>
    <w:pPr/>
    <w:rPr>
      <w:rFonts w:ascii="Mangal" w:hAnsi="Mangal" w:cs="Mangal"/>
      <w:kern w:val="2"/>
      <w:sz w:val="36"/>
    </w:rPr>
  </w:style>
  <w:style w:type="paragraph" w:styleId="Objetsansremplissage" w:customStyle="1">
    <w:name w:val="Objet sans remplissage"/>
    <w:basedOn w:val="Normal"/>
    <w:qFormat/>
    <w:pPr/>
    <w:rPr>
      <w:rFonts w:ascii="Mangal" w:hAnsi="Mangal" w:cs="Mangal"/>
      <w:kern w:val="2"/>
      <w:sz w:val="36"/>
    </w:rPr>
  </w:style>
  <w:style w:type="paragraph" w:styleId="Objetsansremplissageetsansligne" w:customStyle="1">
    <w:name w:val="Objet sans remplissage et sans ligne"/>
    <w:basedOn w:val="Normal"/>
    <w:qFormat/>
    <w:pPr/>
    <w:rPr>
      <w:rFonts w:ascii="Mangal" w:hAnsi="Mangal" w:cs="Mangal"/>
      <w:kern w:val="2"/>
      <w:sz w:val="36"/>
    </w:rPr>
  </w:style>
  <w:style w:type="paragraph" w:styleId="Corpsdetextejustifi" w:customStyle="1">
    <w:name w:val="Corps de texte justifié"/>
    <w:basedOn w:val="Normal"/>
    <w:qFormat/>
    <w:pPr/>
    <w:rPr>
      <w:rFonts w:ascii="Mangal" w:hAnsi="Mangal" w:cs="Mangal"/>
      <w:kern w:val="2"/>
      <w:sz w:val="36"/>
    </w:rPr>
  </w:style>
  <w:style w:type="paragraph" w:styleId="Titre11" w:customStyle="1">
    <w:name w:val="Titre1"/>
    <w:basedOn w:val="Normal"/>
    <w:qFormat/>
    <w:pPr>
      <w:jc w:val="center"/>
    </w:pPr>
    <w:rPr>
      <w:rFonts w:ascii="Mangal" w:hAnsi="Mangal" w:cs="Mangal"/>
      <w:kern w:val="2"/>
      <w:sz w:val="36"/>
    </w:rPr>
  </w:style>
  <w:style w:type="paragraph" w:styleId="Titre21" w:customStyle="1">
    <w:name w:val="Titre2"/>
    <w:basedOn w:val="Normal"/>
    <w:qFormat/>
    <w:pPr>
      <w:spacing w:before="57" w:after="57"/>
      <w:ind w:right="113" w:hanging="0"/>
      <w:jc w:val="center"/>
    </w:pPr>
    <w:rPr>
      <w:rFonts w:ascii="Mangal" w:hAnsi="Mangal" w:cs="Mangal"/>
      <w:kern w:val="2"/>
      <w:sz w:val="36"/>
    </w:rPr>
  </w:style>
  <w:style w:type="paragraph" w:styleId="Lignedecote" w:customStyle="1">
    <w:name w:val="Ligne de cote"/>
    <w:basedOn w:val="Normal"/>
    <w:qFormat/>
    <w:pPr/>
    <w:rPr>
      <w:rFonts w:ascii="Mangal" w:hAnsi="Mangal" w:cs="Mangal"/>
      <w:kern w:val="2"/>
      <w:sz w:val="36"/>
    </w:rPr>
  </w:style>
  <w:style w:type="paragraph" w:styleId="StandardLTGliederung1" w:customStyle="1">
    <w:name w:val="Standard~LT~Gliederung 1"/>
    <w:qFormat/>
    <w:pPr>
      <w:widowControl/>
      <w:suppressAutoHyphens w:val="true"/>
      <w:bidi w:val="0"/>
      <w:spacing w:before="0" w:after="283"/>
      <w:jc w:val="left"/>
    </w:pPr>
    <w:rPr>
      <w:rFonts w:ascii="Mangal" w:hAnsi="Mangal" w:eastAsia="Tahoma" w:cs="Arial"/>
      <w:color w:val="00000A"/>
      <w:kern w:val="2"/>
      <w:sz w:val="64"/>
      <w:szCs w:val="24"/>
      <w:lang w:val="fr-FR" w:eastAsia="zh-CN" w:bidi="hi-IN"/>
    </w:rPr>
  </w:style>
  <w:style w:type="paragraph" w:styleId="StandardLTGliederung2" w:customStyle="1">
    <w:name w:val="Standard~LT~Gliederung 2"/>
    <w:basedOn w:val="StandardLTGliederung1"/>
    <w:qFormat/>
    <w:pPr>
      <w:spacing w:before="0" w:after="227"/>
    </w:pPr>
    <w:rPr>
      <w:rFonts w:cs="Mangal"/>
      <w:sz w:val="56"/>
    </w:rPr>
  </w:style>
  <w:style w:type="paragraph" w:styleId="StandardLTGliederung3" w:customStyle="1">
    <w:name w:val="Standard~LT~Gliederung 3"/>
    <w:basedOn w:val="StandardLTGliederung2"/>
    <w:qFormat/>
    <w:pPr>
      <w:spacing w:before="0" w:after="170"/>
    </w:pPr>
    <w:rPr>
      <w:sz w:val="48"/>
    </w:rPr>
  </w:style>
  <w:style w:type="paragraph" w:styleId="StandardLTGliederung4" w:customStyle="1">
    <w:name w:val="Standard~LT~Gliederung 4"/>
    <w:basedOn w:val="StandardLTGliederung3"/>
    <w:qFormat/>
    <w:pPr>
      <w:spacing w:before="0" w:after="113"/>
    </w:pPr>
    <w:rPr>
      <w:sz w:val="40"/>
    </w:rPr>
  </w:style>
  <w:style w:type="paragraph" w:styleId="StandardLTGliederung5" w:customStyle="1">
    <w:name w:val="Standard~LT~Gliederung 5"/>
    <w:basedOn w:val="StandardLTGliederung4"/>
    <w:qFormat/>
    <w:pPr>
      <w:spacing w:before="0" w:after="57"/>
    </w:pPr>
    <w:rPr/>
  </w:style>
  <w:style w:type="paragraph" w:styleId="StandardLTGliederung6" w:customStyle="1">
    <w:name w:val="Standard~LT~Gliederung 6"/>
    <w:basedOn w:val="StandardLTGliederung5"/>
    <w:qFormat/>
    <w:pPr/>
    <w:rPr/>
  </w:style>
  <w:style w:type="paragraph" w:styleId="StandardLTGliederung7" w:customStyle="1">
    <w:name w:val="Standard~LT~Gliederung 7"/>
    <w:basedOn w:val="StandardLTGliederung6"/>
    <w:qFormat/>
    <w:pPr/>
    <w:rPr/>
  </w:style>
  <w:style w:type="paragraph" w:styleId="StandardLTGliederung8" w:customStyle="1">
    <w:name w:val="Standard~LT~Gliederung 8"/>
    <w:basedOn w:val="StandardLTGliederung7"/>
    <w:qFormat/>
    <w:pPr/>
    <w:rPr/>
  </w:style>
  <w:style w:type="paragraph" w:styleId="StandardLTGliederung9" w:customStyle="1">
    <w:name w:val="Standard~LT~Gliederung 9"/>
    <w:basedOn w:val="StandardLTGliederung8"/>
    <w:qFormat/>
    <w:pPr/>
    <w:rPr/>
  </w:style>
  <w:style w:type="paragraph" w:styleId="StandardLTTitel" w:customStyle="1">
    <w:name w:val="Standard~LT~Titel"/>
    <w:qFormat/>
    <w:pPr>
      <w:widowControl/>
      <w:suppressAutoHyphens w:val="true"/>
      <w:bidi w:val="0"/>
      <w:spacing w:before="0" w:after="0"/>
      <w:jc w:val="center"/>
    </w:pPr>
    <w:rPr>
      <w:rFonts w:ascii="Mangal" w:hAnsi="Mangal" w:eastAsia="Tahoma" w:cs="Arial"/>
      <w:color w:val="00000A"/>
      <w:kern w:val="2"/>
      <w:sz w:val="88"/>
      <w:szCs w:val="24"/>
      <w:lang w:val="fr-FR" w:eastAsia="zh-CN" w:bidi="hi-IN"/>
    </w:rPr>
  </w:style>
  <w:style w:type="paragraph" w:styleId="StandardLTUntertitel" w:customStyle="1">
    <w:name w:val="Standard~LT~Untertitel"/>
    <w:qFormat/>
    <w:pPr>
      <w:widowControl/>
      <w:suppressAutoHyphens w:val="true"/>
      <w:bidi w:val="0"/>
      <w:spacing w:before="0" w:after="0"/>
      <w:jc w:val="center"/>
    </w:pPr>
    <w:rPr>
      <w:rFonts w:ascii="Mangal" w:hAnsi="Mangal" w:eastAsia="Tahoma" w:cs="Arial"/>
      <w:color w:val="00000A"/>
      <w:kern w:val="2"/>
      <w:sz w:val="64"/>
      <w:szCs w:val="24"/>
      <w:lang w:val="fr-FR" w:eastAsia="zh-CN" w:bidi="hi-IN"/>
    </w:rPr>
  </w:style>
  <w:style w:type="paragraph" w:styleId="StandardLTNotizen" w:customStyle="1">
    <w:name w:val="Standard~LT~Notizen"/>
    <w:qFormat/>
    <w:pPr>
      <w:widowControl/>
      <w:suppressAutoHyphens w:val="true"/>
      <w:bidi w:val="0"/>
      <w:spacing w:before="0" w:after="0"/>
      <w:ind w:left="340" w:hanging="0"/>
      <w:jc w:val="left"/>
    </w:pPr>
    <w:rPr>
      <w:rFonts w:ascii="Mangal" w:hAnsi="Mangal" w:eastAsia="Tahoma" w:cs="Arial"/>
      <w:color w:val="00000A"/>
      <w:kern w:val="2"/>
      <w:sz w:val="40"/>
      <w:szCs w:val="24"/>
      <w:lang w:val="fr-FR" w:eastAsia="zh-CN" w:bidi="hi-IN"/>
    </w:rPr>
  </w:style>
  <w:style w:type="paragraph" w:styleId="StandardLTHintergrundobjekte" w:customStyle="1">
    <w:name w:val="Standard~LT~Hintergrundobjekte"/>
    <w:qFormat/>
    <w:pPr>
      <w:widowControl/>
      <w:suppressAutoHyphens w:val="true"/>
      <w:bidi w:val="0"/>
      <w:spacing w:before="0" w:after="0"/>
      <w:jc w:val="left"/>
    </w:pPr>
    <w:rPr>
      <w:rFonts w:ascii="Times New Roman" w:hAnsi="Times New Roman" w:eastAsia="Tahoma" w:cs="Arial"/>
      <w:color w:val="00000A"/>
      <w:kern w:val="2"/>
      <w:sz w:val="22"/>
      <w:szCs w:val="24"/>
      <w:lang w:val="fr-FR" w:eastAsia="zh-CN" w:bidi="hi-IN"/>
    </w:rPr>
  </w:style>
  <w:style w:type="paragraph" w:styleId="StandardLTHintergrund" w:customStyle="1">
    <w:name w:val="Standard~LT~Hintergrund"/>
    <w:qFormat/>
    <w:pPr>
      <w:widowControl/>
      <w:suppressAutoHyphens w:val="true"/>
      <w:bidi w:val="0"/>
      <w:spacing w:before="0" w:after="0"/>
      <w:jc w:val="left"/>
    </w:pPr>
    <w:rPr>
      <w:rFonts w:ascii="Times New Roman" w:hAnsi="Times New Roman" w:eastAsia="Tahoma" w:cs="Arial"/>
      <w:color w:val="00000A"/>
      <w:kern w:val="2"/>
      <w:sz w:val="22"/>
      <w:szCs w:val="24"/>
      <w:lang w:val="fr-FR" w:eastAsia="zh-CN" w:bidi="hi-IN"/>
    </w:rPr>
  </w:style>
  <w:style w:type="paragraph" w:styleId="Default" w:customStyle="1">
    <w:name w:val="default"/>
    <w:qFormat/>
    <w:pPr>
      <w:widowControl/>
      <w:suppressAutoHyphens w:val="true"/>
      <w:bidi w:val="0"/>
      <w:spacing w:before="0" w:after="0"/>
      <w:jc w:val="left"/>
    </w:pPr>
    <w:rPr>
      <w:rFonts w:ascii="Mangal" w:hAnsi="Mangal" w:eastAsia="Tahoma" w:cs="Arial"/>
      <w:color w:val="00000A"/>
      <w:kern w:val="2"/>
      <w:sz w:val="36"/>
      <w:szCs w:val="24"/>
      <w:lang w:val="fr-FR" w:eastAsia="zh-CN" w:bidi="hi-IN"/>
    </w:rPr>
  </w:style>
  <w:style w:type="paragraph" w:styleId="Gray1" w:customStyle="1">
    <w:name w:val="gray1"/>
    <w:basedOn w:val="Default"/>
    <w:qFormat/>
    <w:pPr/>
    <w:rPr>
      <w:rFonts w:cs="Mangal"/>
    </w:rPr>
  </w:style>
  <w:style w:type="paragraph" w:styleId="Gray2" w:customStyle="1">
    <w:name w:val="gray2"/>
    <w:basedOn w:val="Default"/>
    <w:qFormat/>
    <w:pPr/>
    <w:rPr>
      <w:rFonts w:cs="Mangal"/>
    </w:rPr>
  </w:style>
  <w:style w:type="paragraph" w:styleId="Gray3" w:customStyle="1">
    <w:name w:val="gray3"/>
    <w:basedOn w:val="Default"/>
    <w:qFormat/>
    <w:pPr/>
    <w:rPr>
      <w:rFonts w:cs="Mangal"/>
    </w:rPr>
  </w:style>
  <w:style w:type="paragraph" w:styleId="Bw1" w:customStyle="1">
    <w:name w:val="bw1"/>
    <w:basedOn w:val="Default"/>
    <w:qFormat/>
    <w:pPr/>
    <w:rPr>
      <w:rFonts w:cs="Mangal"/>
    </w:rPr>
  </w:style>
  <w:style w:type="paragraph" w:styleId="Bw2" w:customStyle="1">
    <w:name w:val="bw2"/>
    <w:basedOn w:val="Default"/>
    <w:qFormat/>
    <w:pPr/>
    <w:rPr>
      <w:rFonts w:cs="Mangal"/>
    </w:rPr>
  </w:style>
  <w:style w:type="paragraph" w:styleId="Bw3" w:customStyle="1">
    <w:name w:val="bw3"/>
    <w:basedOn w:val="Default"/>
    <w:qFormat/>
    <w:pPr/>
    <w:rPr>
      <w:rFonts w:cs="Mangal"/>
    </w:rPr>
  </w:style>
  <w:style w:type="paragraph" w:styleId="Orange1" w:customStyle="1">
    <w:name w:val="orange1"/>
    <w:basedOn w:val="Default"/>
    <w:qFormat/>
    <w:pPr/>
    <w:rPr>
      <w:rFonts w:cs="Mangal"/>
    </w:rPr>
  </w:style>
  <w:style w:type="paragraph" w:styleId="Orange2" w:customStyle="1">
    <w:name w:val="orange2"/>
    <w:basedOn w:val="Default"/>
    <w:qFormat/>
    <w:pPr/>
    <w:rPr>
      <w:rFonts w:cs="Mangal"/>
    </w:rPr>
  </w:style>
  <w:style w:type="paragraph" w:styleId="Orange3" w:customStyle="1">
    <w:name w:val="orange3"/>
    <w:basedOn w:val="Default"/>
    <w:qFormat/>
    <w:pPr/>
    <w:rPr>
      <w:rFonts w:cs="Mangal"/>
    </w:rPr>
  </w:style>
  <w:style w:type="paragraph" w:styleId="Turquise1" w:customStyle="1">
    <w:name w:val="turquise1"/>
    <w:basedOn w:val="Default"/>
    <w:qFormat/>
    <w:pPr/>
    <w:rPr>
      <w:rFonts w:cs="Mangal"/>
    </w:rPr>
  </w:style>
  <w:style w:type="paragraph" w:styleId="Turquise2" w:customStyle="1">
    <w:name w:val="turquise2"/>
    <w:basedOn w:val="Default"/>
    <w:qFormat/>
    <w:pPr/>
    <w:rPr>
      <w:rFonts w:cs="Mangal"/>
    </w:rPr>
  </w:style>
  <w:style w:type="paragraph" w:styleId="Turquise3" w:customStyle="1">
    <w:name w:val="turquise3"/>
    <w:basedOn w:val="Default"/>
    <w:qFormat/>
    <w:pPr/>
    <w:rPr>
      <w:rFonts w:cs="Mangal"/>
    </w:rPr>
  </w:style>
  <w:style w:type="paragraph" w:styleId="Blue1" w:customStyle="1">
    <w:name w:val="blue1"/>
    <w:basedOn w:val="Default"/>
    <w:qFormat/>
    <w:pPr/>
    <w:rPr>
      <w:rFonts w:cs="Mangal"/>
    </w:rPr>
  </w:style>
  <w:style w:type="paragraph" w:styleId="Blue2" w:customStyle="1">
    <w:name w:val="blue2"/>
    <w:basedOn w:val="Default"/>
    <w:qFormat/>
    <w:pPr/>
    <w:rPr>
      <w:rFonts w:cs="Mangal"/>
    </w:rPr>
  </w:style>
  <w:style w:type="paragraph" w:styleId="Blue3" w:customStyle="1">
    <w:name w:val="blue3"/>
    <w:basedOn w:val="Default"/>
    <w:qFormat/>
    <w:pPr/>
    <w:rPr>
      <w:rFonts w:cs="Mangal"/>
    </w:rPr>
  </w:style>
  <w:style w:type="paragraph" w:styleId="Sun1" w:customStyle="1">
    <w:name w:val="sun1"/>
    <w:basedOn w:val="Default"/>
    <w:qFormat/>
    <w:pPr/>
    <w:rPr>
      <w:rFonts w:cs="Mangal"/>
    </w:rPr>
  </w:style>
  <w:style w:type="paragraph" w:styleId="Sun2" w:customStyle="1">
    <w:name w:val="sun2"/>
    <w:basedOn w:val="Default"/>
    <w:qFormat/>
    <w:pPr/>
    <w:rPr>
      <w:rFonts w:cs="Mangal"/>
    </w:rPr>
  </w:style>
  <w:style w:type="paragraph" w:styleId="Sun3" w:customStyle="1">
    <w:name w:val="sun3"/>
    <w:basedOn w:val="Default"/>
    <w:qFormat/>
    <w:pPr/>
    <w:rPr>
      <w:rFonts w:cs="Mangal"/>
    </w:rPr>
  </w:style>
  <w:style w:type="paragraph" w:styleId="Earth1" w:customStyle="1">
    <w:name w:val="earth1"/>
    <w:basedOn w:val="Default"/>
    <w:qFormat/>
    <w:pPr/>
    <w:rPr>
      <w:rFonts w:cs="Mangal"/>
    </w:rPr>
  </w:style>
  <w:style w:type="paragraph" w:styleId="Earth2" w:customStyle="1">
    <w:name w:val="earth2"/>
    <w:basedOn w:val="Default"/>
    <w:qFormat/>
    <w:pPr/>
    <w:rPr>
      <w:rFonts w:cs="Mangal"/>
    </w:rPr>
  </w:style>
  <w:style w:type="paragraph" w:styleId="Earth3" w:customStyle="1">
    <w:name w:val="earth3"/>
    <w:basedOn w:val="Default"/>
    <w:qFormat/>
    <w:pPr/>
    <w:rPr>
      <w:rFonts w:cs="Mangal"/>
    </w:rPr>
  </w:style>
  <w:style w:type="paragraph" w:styleId="Green1" w:customStyle="1">
    <w:name w:val="green1"/>
    <w:basedOn w:val="Default"/>
    <w:qFormat/>
    <w:pPr/>
    <w:rPr>
      <w:rFonts w:cs="Mangal"/>
    </w:rPr>
  </w:style>
  <w:style w:type="paragraph" w:styleId="Green2" w:customStyle="1">
    <w:name w:val="green2"/>
    <w:basedOn w:val="Default"/>
    <w:qFormat/>
    <w:pPr/>
    <w:rPr>
      <w:rFonts w:cs="Mangal"/>
    </w:rPr>
  </w:style>
  <w:style w:type="paragraph" w:styleId="Green3" w:customStyle="1">
    <w:name w:val="green3"/>
    <w:basedOn w:val="Default"/>
    <w:qFormat/>
    <w:pPr/>
    <w:rPr>
      <w:rFonts w:cs="Mangal"/>
    </w:rPr>
  </w:style>
  <w:style w:type="paragraph" w:styleId="Seetang1" w:customStyle="1">
    <w:name w:val="seetang1"/>
    <w:basedOn w:val="Default"/>
    <w:qFormat/>
    <w:pPr/>
    <w:rPr>
      <w:rFonts w:cs="Mangal"/>
    </w:rPr>
  </w:style>
  <w:style w:type="paragraph" w:styleId="Seetang2" w:customStyle="1">
    <w:name w:val="seetang2"/>
    <w:basedOn w:val="Default"/>
    <w:qFormat/>
    <w:pPr/>
    <w:rPr>
      <w:rFonts w:cs="Mangal"/>
    </w:rPr>
  </w:style>
  <w:style w:type="paragraph" w:styleId="Seetang3" w:customStyle="1">
    <w:name w:val="seetang3"/>
    <w:basedOn w:val="Default"/>
    <w:qFormat/>
    <w:pPr/>
    <w:rPr>
      <w:rFonts w:cs="Mangal"/>
    </w:rPr>
  </w:style>
  <w:style w:type="paragraph" w:styleId="Lightblue1" w:customStyle="1">
    <w:name w:val="lightblue1"/>
    <w:basedOn w:val="Default"/>
    <w:qFormat/>
    <w:pPr/>
    <w:rPr>
      <w:rFonts w:cs="Mangal"/>
    </w:rPr>
  </w:style>
  <w:style w:type="paragraph" w:styleId="Lightblue2" w:customStyle="1">
    <w:name w:val="lightblue2"/>
    <w:basedOn w:val="Default"/>
    <w:qFormat/>
    <w:pPr/>
    <w:rPr>
      <w:rFonts w:cs="Mangal"/>
    </w:rPr>
  </w:style>
  <w:style w:type="paragraph" w:styleId="Lightblue3" w:customStyle="1">
    <w:name w:val="lightblue3"/>
    <w:basedOn w:val="Default"/>
    <w:qFormat/>
    <w:pPr/>
    <w:rPr>
      <w:rFonts w:cs="Mangal"/>
    </w:rPr>
  </w:style>
  <w:style w:type="paragraph" w:styleId="Yellow1" w:customStyle="1">
    <w:name w:val="yellow1"/>
    <w:basedOn w:val="Default"/>
    <w:qFormat/>
    <w:pPr/>
    <w:rPr>
      <w:rFonts w:cs="Mangal"/>
    </w:rPr>
  </w:style>
  <w:style w:type="paragraph" w:styleId="Yellow2" w:customStyle="1">
    <w:name w:val="yellow2"/>
    <w:basedOn w:val="Default"/>
    <w:qFormat/>
    <w:pPr/>
    <w:rPr>
      <w:rFonts w:cs="Mangal"/>
    </w:rPr>
  </w:style>
  <w:style w:type="paragraph" w:styleId="Yellow3" w:customStyle="1">
    <w:name w:val="yellow3"/>
    <w:basedOn w:val="Default"/>
    <w:qFormat/>
    <w:pPr/>
    <w:rPr>
      <w:rFonts w:cs="Mangal"/>
    </w:rPr>
  </w:style>
  <w:style w:type="paragraph" w:styleId="Objetsdarrire-plan" w:customStyle="1">
    <w:name w:val="Objets d'arrière-plan"/>
    <w:qFormat/>
    <w:pPr>
      <w:widowControl/>
      <w:suppressAutoHyphens w:val="true"/>
      <w:bidi w:val="0"/>
      <w:spacing w:before="0" w:after="0"/>
      <w:jc w:val="left"/>
    </w:pPr>
    <w:rPr>
      <w:rFonts w:ascii="Times New Roman" w:hAnsi="Times New Roman" w:eastAsia="Tahoma" w:cs="Arial"/>
      <w:color w:val="00000A"/>
      <w:kern w:val="2"/>
      <w:sz w:val="22"/>
      <w:szCs w:val="24"/>
      <w:lang w:val="fr-FR" w:eastAsia="zh-CN" w:bidi="hi-IN"/>
    </w:rPr>
  </w:style>
  <w:style w:type="paragraph" w:styleId="Arrire-plan" w:customStyle="1">
    <w:name w:val="Arrière-plan"/>
    <w:qFormat/>
    <w:pPr>
      <w:widowControl/>
      <w:suppressAutoHyphens w:val="true"/>
      <w:bidi w:val="0"/>
      <w:spacing w:before="0" w:after="0"/>
      <w:jc w:val="left"/>
    </w:pPr>
    <w:rPr>
      <w:rFonts w:ascii="Times New Roman" w:hAnsi="Times New Roman" w:eastAsia="Tahoma" w:cs="Arial"/>
      <w:color w:val="00000A"/>
      <w:kern w:val="2"/>
      <w:sz w:val="22"/>
      <w:szCs w:val="24"/>
      <w:lang w:val="fr-FR" w:eastAsia="zh-CN" w:bidi="hi-IN"/>
    </w:rPr>
  </w:style>
  <w:style w:type="paragraph" w:styleId="Notes" w:customStyle="1">
    <w:name w:val="Notes"/>
    <w:qFormat/>
    <w:pPr>
      <w:widowControl/>
      <w:suppressAutoHyphens w:val="true"/>
      <w:bidi w:val="0"/>
      <w:spacing w:before="0" w:after="0"/>
      <w:ind w:left="340" w:hanging="0"/>
      <w:jc w:val="left"/>
    </w:pPr>
    <w:rPr>
      <w:rFonts w:ascii="Mangal" w:hAnsi="Mangal" w:eastAsia="Tahoma" w:cs="Arial"/>
      <w:color w:val="00000A"/>
      <w:kern w:val="2"/>
      <w:sz w:val="40"/>
      <w:szCs w:val="24"/>
      <w:lang w:val="fr-FR" w:eastAsia="zh-CN" w:bidi="hi-IN"/>
    </w:rPr>
  </w:style>
  <w:style w:type="paragraph" w:styleId="Plan1" w:customStyle="1">
    <w:name w:val="Plan 1"/>
    <w:qFormat/>
    <w:pPr>
      <w:widowControl/>
      <w:suppressAutoHyphens w:val="true"/>
      <w:bidi w:val="0"/>
      <w:spacing w:before="0" w:after="283"/>
      <w:jc w:val="left"/>
    </w:pPr>
    <w:rPr>
      <w:rFonts w:ascii="Mangal" w:hAnsi="Mangal" w:eastAsia="Tahoma" w:cs="Arial"/>
      <w:color w:val="00000A"/>
      <w:kern w:val="2"/>
      <w:sz w:val="64"/>
      <w:szCs w:val="24"/>
      <w:lang w:val="fr-FR" w:eastAsia="zh-CN" w:bidi="hi-IN"/>
    </w:rPr>
  </w:style>
  <w:style w:type="paragraph" w:styleId="Plan2" w:customStyle="1">
    <w:name w:val="Plan 2"/>
    <w:basedOn w:val="Plan1"/>
    <w:qFormat/>
    <w:pPr>
      <w:spacing w:before="0" w:after="227"/>
    </w:pPr>
    <w:rPr>
      <w:rFonts w:cs="Mangal"/>
      <w:sz w:val="56"/>
    </w:rPr>
  </w:style>
  <w:style w:type="paragraph" w:styleId="Plan3" w:customStyle="1">
    <w:name w:val="Plan 3"/>
    <w:basedOn w:val="Plan2"/>
    <w:qFormat/>
    <w:pPr>
      <w:spacing w:before="0" w:after="170"/>
    </w:pPr>
    <w:rPr>
      <w:sz w:val="48"/>
    </w:rPr>
  </w:style>
  <w:style w:type="paragraph" w:styleId="Plan4" w:customStyle="1">
    <w:name w:val="Plan 4"/>
    <w:basedOn w:val="Plan3"/>
    <w:qFormat/>
    <w:pPr>
      <w:spacing w:before="0" w:after="113"/>
    </w:pPr>
    <w:rPr>
      <w:sz w:val="40"/>
    </w:rPr>
  </w:style>
  <w:style w:type="paragraph" w:styleId="Plan5" w:customStyle="1">
    <w:name w:val="Plan 5"/>
    <w:basedOn w:val="Plan4"/>
    <w:qFormat/>
    <w:pPr>
      <w:spacing w:before="0" w:after="57"/>
    </w:pPr>
    <w:rPr/>
  </w:style>
  <w:style w:type="paragraph" w:styleId="Plan6" w:customStyle="1">
    <w:name w:val="Plan 6"/>
    <w:basedOn w:val="Plan5"/>
    <w:qFormat/>
    <w:pPr/>
    <w:rPr/>
  </w:style>
  <w:style w:type="paragraph" w:styleId="Plan7" w:customStyle="1">
    <w:name w:val="Plan 7"/>
    <w:basedOn w:val="Plan6"/>
    <w:qFormat/>
    <w:pPr/>
    <w:rPr/>
  </w:style>
  <w:style w:type="paragraph" w:styleId="Plan8" w:customStyle="1">
    <w:name w:val="Plan 8"/>
    <w:basedOn w:val="Plan7"/>
    <w:qFormat/>
    <w:pPr/>
    <w:rPr/>
  </w:style>
  <w:style w:type="paragraph" w:styleId="Plan9" w:customStyle="1">
    <w:name w:val="Plan 9"/>
    <w:basedOn w:val="Plan8"/>
    <w:qFormat/>
    <w:pPr/>
    <w:rPr/>
  </w:style>
  <w:style w:type="paragraph" w:styleId="Puces1" w:customStyle="1">
    <w:name w:val="Puces"/>
    <w:qFormat/>
    <w:pPr>
      <w:widowControl/>
      <w:suppressAutoHyphens w:val="true"/>
      <w:bidi w:val="0"/>
      <w:spacing w:before="0" w:after="0"/>
      <w:jc w:val="left"/>
    </w:pPr>
    <w:rPr>
      <w:rFonts w:ascii="OpenSymbol;Arial Unicode MS" w:hAnsi="OpenSymbol;Arial Unicode MS" w:eastAsia="Tahoma" w:cs="Arial"/>
      <w:color w:val="00000A"/>
      <w:kern w:val="0"/>
      <w:sz w:val="22"/>
      <w:szCs w:val="24"/>
      <w:lang w:val="fr-FR" w:eastAsia="zh-CN" w:bidi="hi-IN"/>
    </w:rPr>
  </w:style>
  <w:style w:type="paragraph" w:styleId="WW8Num2z8" w:customStyle="1">
    <w:name w:val="WW8Num2z8"/>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WW8Num2z7" w:customStyle="1">
    <w:name w:val="WW8Num2z7"/>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WW8Num2z6" w:customStyle="1">
    <w:name w:val="WW8Num2z6"/>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WW8Num2z5" w:customStyle="1">
    <w:name w:val="WW8Num2z5"/>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WW8Num2z4" w:customStyle="1">
    <w:name w:val="WW8Num2z4"/>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WW8Num2z31" w:customStyle="1">
    <w:name w:val="WW8Num2z3"/>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WW8Num2z21" w:customStyle="1">
    <w:name w:val="WW8Num2z2"/>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WW8Num2z11" w:customStyle="1">
    <w:name w:val="WW8Num2z1"/>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WW8Num2z01" w:customStyle="1">
    <w:name w:val="WW8Num2z0"/>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WW8Num1z01" w:customStyle="1">
    <w:name w:val="WW8Num1z0"/>
    <w:qFormat/>
    <w:pPr>
      <w:widowControl/>
      <w:suppressAutoHyphens w:val="true"/>
      <w:bidi w:val="0"/>
      <w:spacing w:before="0" w:after="0"/>
      <w:jc w:val="left"/>
    </w:pPr>
    <w:rPr>
      <w:rFonts w:ascii="OpenSymbol;Arial Unicode MS" w:hAnsi="OpenSymbol;Arial Unicode MS" w:eastAsia="Tahoma" w:cs="Arial"/>
      <w:color w:val="00000A"/>
      <w:kern w:val="0"/>
      <w:sz w:val="22"/>
      <w:szCs w:val="24"/>
      <w:lang w:val="fr-FR" w:eastAsia="zh-CN" w:bidi="hi-IN"/>
    </w:rPr>
  </w:style>
  <w:style w:type="paragraph" w:styleId="Policepardfaut1" w:customStyle="1">
    <w:name w:val="Police par défaut1"/>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DefinitionTerm" w:customStyle="1">
    <w:name w:val="Definition Term"/>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DefinitionList" w:customStyle="1">
    <w:name w:val="Definition List"/>
    <w:qFormat/>
    <w:pPr>
      <w:widowControl/>
      <w:suppressAutoHyphens w:val="true"/>
      <w:bidi w:val="0"/>
      <w:spacing w:before="0" w:after="0"/>
      <w:ind w:left="635" w:hanging="0"/>
      <w:jc w:val="left"/>
    </w:pPr>
    <w:rPr>
      <w:rFonts w:ascii="Times New Roman" w:hAnsi="Times New Roman" w:eastAsia="Tahoma" w:cs="Arial"/>
      <w:color w:val="00000A"/>
      <w:kern w:val="0"/>
      <w:sz w:val="22"/>
      <w:szCs w:val="24"/>
      <w:lang w:val="fr-FR" w:eastAsia="zh-CN" w:bidi="hi-IN"/>
    </w:rPr>
  </w:style>
  <w:style w:type="paragraph" w:styleId="Definition" w:customStyle="1">
    <w:name w:val="Definition"/>
    <w:qFormat/>
    <w:pPr>
      <w:widowControl/>
      <w:suppressAutoHyphens w:val="true"/>
      <w:bidi w:val="0"/>
      <w:spacing w:before="0" w:after="0"/>
      <w:jc w:val="left"/>
    </w:pPr>
    <w:rPr>
      <w:rFonts w:ascii="Times New Roman" w:hAnsi="Times New Roman" w:eastAsia="Tahoma" w:cs="Arial"/>
      <w:i/>
      <w:color w:val="00000A"/>
      <w:kern w:val="0"/>
      <w:sz w:val="22"/>
      <w:szCs w:val="24"/>
      <w:lang w:val="fr-FR" w:eastAsia="zh-CN" w:bidi="hi-IN"/>
    </w:rPr>
  </w:style>
  <w:style w:type="paragraph" w:styleId="H1" w:customStyle="1">
    <w:name w:val="H1"/>
    <w:qFormat/>
    <w:pPr>
      <w:widowControl/>
      <w:suppressAutoHyphens w:val="true"/>
      <w:bidi w:val="0"/>
      <w:spacing w:before="176" w:after="176"/>
      <w:jc w:val="left"/>
    </w:pPr>
    <w:rPr>
      <w:rFonts w:ascii="Times New Roman" w:hAnsi="Times New Roman" w:eastAsia="Tahoma" w:cs="Arial"/>
      <w:b/>
      <w:color w:val="00000A"/>
      <w:kern w:val="2"/>
      <w:sz w:val="48"/>
      <w:szCs w:val="24"/>
      <w:lang w:val="fr-FR" w:eastAsia="zh-CN" w:bidi="hi-IN"/>
    </w:rPr>
  </w:style>
  <w:style w:type="paragraph" w:styleId="H2" w:customStyle="1">
    <w:name w:val="H2"/>
    <w:qFormat/>
    <w:pPr>
      <w:widowControl/>
      <w:suppressAutoHyphens w:val="true"/>
      <w:bidi w:val="0"/>
      <w:spacing w:before="176" w:after="176"/>
      <w:jc w:val="left"/>
    </w:pPr>
    <w:rPr>
      <w:rFonts w:ascii="Times New Roman" w:hAnsi="Times New Roman" w:eastAsia="Tahoma" w:cs="Arial"/>
      <w:b/>
      <w:color w:val="00000A"/>
      <w:kern w:val="0"/>
      <w:sz w:val="36"/>
      <w:szCs w:val="24"/>
      <w:lang w:val="fr-FR" w:eastAsia="zh-CN" w:bidi="hi-IN"/>
    </w:rPr>
  </w:style>
  <w:style w:type="paragraph" w:styleId="H3" w:customStyle="1">
    <w:name w:val="H3"/>
    <w:qFormat/>
    <w:pPr>
      <w:widowControl/>
      <w:suppressAutoHyphens w:val="true"/>
      <w:bidi w:val="0"/>
      <w:spacing w:before="176" w:after="176"/>
      <w:jc w:val="left"/>
    </w:pPr>
    <w:rPr>
      <w:rFonts w:ascii="Times New Roman" w:hAnsi="Times New Roman" w:eastAsia="Tahoma" w:cs="Arial"/>
      <w:b/>
      <w:color w:val="00000A"/>
      <w:kern w:val="0"/>
      <w:sz w:val="28"/>
      <w:szCs w:val="24"/>
      <w:lang w:val="fr-FR" w:eastAsia="zh-CN" w:bidi="hi-IN"/>
    </w:rPr>
  </w:style>
  <w:style w:type="paragraph" w:styleId="H4" w:customStyle="1">
    <w:name w:val="H4"/>
    <w:qFormat/>
    <w:pPr>
      <w:widowControl/>
      <w:suppressAutoHyphens w:val="true"/>
      <w:bidi w:val="0"/>
      <w:spacing w:before="176" w:after="176"/>
      <w:jc w:val="left"/>
    </w:pPr>
    <w:rPr>
      <w:rFonts w:ascii="Times New Roman" w:hAnsi="Times New Roman" w:eastAsia="Tahoma" w:cs="Arial"/>
      <w:b/>
      <w:color w:val="00000A"/>
      <w:kern w:val="0"/>
      <w:sz w:val="22"/>
      <w:szCs w:val="24"/>
      <w:lang w:val="fr-FR" w:eastAsia="zh-CN" w:bidi="hi-IN"/>
    </w:rPr>
  </w:style>
  <w:style w:type="paragraph" w:styleId="H5" w:customStyle="1">
    <w:name w:val="H5"/>
    <w:qFormat/>
    <w:pPr>
      <w:widowControl/>
      <w:suppressAutoHyphens w:val="true"/>
      <w:bidi w:val="0"/>
      <w:spacing w:before="176" w:after="176"/>
      <w:jc w:val="left"/>
    </w:pPr>
    <w:rPr>
      <w:rFonts w:ascii="Times New Roman" w:hAnsi="Times New Roman" w:eastAsia="Tahoma" w:cs="Arial"/>
      <w:b/>
      <w:color w:val="00000A"/>
      <w:kern w:val="0"/>
      <w:sz w:val="20"/>
      <w:szCs w:val="24"/>
      <w:lang w:val="fr-FR" w:eastAsia="zh-CN" w:bidi="hi-IN"/>
    </w:rPr>
  </w:style>
  <w:style w:type="paragraph" w:styleId="H6" w:customStyle="1">
    <w:name w:val="H6"/>
    <w:qFormat/>
    <w:pPr>
      <w:widowControl/>
      <w:suppressAutoHyphens w:val="true"/>
      <w:bidi w:val="0"/>
      <w:spacing w:before="176" w:after="176"/>
      <w:jc w:val="left"/>
    </w:pPr>
    <w:rPr>
      <w:rFonts w:ascii="Times New Roman" w:hAnsi="Times New Roman" w:eastAsia="Tahoma" w:cs="Arial"/>
      <w:b/>
      <w:color w:val="00000A"/>
      <w:kern w:val="0"/>
      <w:sz w:val="16"/>
      <w:szCs w:val="24"/>
      <w:lang w:val="fr-FR" w:eastAsia="zh-CN" w:bidi="hi-IN"/>
    </w:rPr>
  </w:style>
  <w:style w:type="paragraph" w:styleId="Address" w:customStyle="1">
    <w:name w:val="Address"/>
    <w:qFormat/>
    <w:pPr>
      <w:widowControl/>
      <w:suppressAutoHyphens w:val="true"/>
      <w:bidi w:val="0"/>
      <w:spacing w:before="0" w:after="0"/>
      <w:jc w:val="left"/>
    </w:pPr>
    <w:rPr>
      <w:rFonts w:ascii="Times New Roman" w:hAnsi="Times New Roman" w:eastAsia="Tahoma" w:cs="Arial"/>
      <w:i/>
      <w:color w:val="00000A"/>
      <w:kern w:val="0"/>
      <w:sz w:val="22"/>
      <w:szCs w:val="24"/>
      <w:lang w:val="fr-FR" w:eastAsia="zh-CN" w:bidi="hi-IN"/>
    </w:rPr>
  </w:style>
  <w:style w:type="paragraph" w:styleId="Blockquote" w:customStyle="1">
    <w:name w:val="Blockquote"/>
    <w:qFormat/>
    <w:pPr>
      <w:widowControl/>
      <w:suppressAutoHyphens w:val="true"/>
      <w:bidi w:val="0"/>
      <w:spacing w:before="176" w:after="176"/>
      <w:ind w:left="635" w:right="635" w:hanging="0"/>
      <w:jc w:val="left"/>
    </w:pPr>
    <w:rPr>
      <w:rFonts w:ascii="Times New Roman" w:hAnsi="Times New Roman" w:eastAsia="Tahoma" w:cs="Arial"/>
      <w:color w:val="00000A"/>
      <w:kern w:val="0"/>
      <w:sz w:val="22"/>
      <w:szCs w:val="24"/>
      <w:lang w:val="fr-FR" w:eastAsia="zh-CN" w:bidi="hi-IN"/>
    </w:rPr>
  </w:style>
  <w:style w:type="paragraph" w:styleId="CITE" w:customStyle="1">
    <w:name w:val="CITE"/>
    <w:qFormat/>
    <w:pPr>
      <w:widowControl/>
      <w:suppressAutoHyphens w:val="true"/>
      <w:bidi w:val="0"/>
      <w:spacing w:before="0" w:after="0"/>
      <w:jc w:val="left"/>
    </w:pPr>
    <w:rPr>
      <w:rFonts w:ascii="Times New Roman" w:hAnsi="Times New Roman" w:eastAsia="Tahoma" w:cs="Arial"/>
      <w:i/>
      <w:color w:val="00000A"/>
      <w:kern w:val="0"/>
      <w:sz w:val="22"/>
      <w:szCs w:val="24"/>
      <w:lang w:val="fr-FR" w:eastAsia="zh-CN" w:bidi="hi-IN"/>
    </w:rPr>
  </w:style>
  <w:style w:type="paragraph" w:styleId="CODE" w:customStyle="1">
    <w:name w:val="CODE"/>
    <w:qFormat/>
    <w:pPr>
      <w:widowControl/>
      <w:suppressAutoHyphens w:val="true"/>
      <w:bidi w:val="0"/>
      <w:spacing w:before="0" w:after="0"/>
      <w:jc w:val="left"/>
    </w:pPr>
    <w:rPr>
      <w:rFonts w:ascii="Courier New" w:hAnsi="Courier New" w:eastAsia="Tahoma" w:cs="Arial"/>
      <w:color w:val="00000A"/>
      <w:kern w:val="0"/>
      <w:sz w:val="20"/>
      <w:szCs w:val="24"/>
      <w:lang w:val="fr-FR" w:eastAsia="zh-CN" w:bidi="hi-IN"/>
    </w:rPr>
  </w:style>
  <w:style w:type="paragraph" w:styleId="Accentuation1" w:customStyle="1">
    <w:name w:val="Accentuation1"/>
    <w:qFormat/>
    <w:pPr>
      <w:widowControl/>
      <w:suppressAutoHyphens w:val="true"/>
      <w:bidi w:val="0"/>
      <w:spacing w:before="0" w:after="0"/>
      <w:jc w:val="left"/>
    </w:pPr>
    <w:rPr>
      <w:rFonts w:ascii="Times New Roman" w:hAnsi="Times New Roman" w:eastAsia="Tahoma" w:cs="Arial"/>
      <w:i/>
      <w:color w:val="00000A"/>
      <w:kern w:val="0"/>
      <w:sz w:val="22"/>
      <w:szCs w:val="24"/>
      <w:lang w:val="fr-FR" w:eastAsia="zh-CN" w:bidi="hi-IN"/>
    </w:rPr>
  </w:style>
  <w:style w:type="paragraph" w:styleId="Internetlink" w:customStyle="1">
    <w:name w:val="Internet link"/>
    <w:qFormat/>
    <w:pPr>
      <w:widowControl/>
      <w:suppressAutoHyphens w:val="true"/>
      <w:bidi w:val="0"/>
      <w:spacing w:before="0" w:after="0"/>
      <w:jc w:val="left"/>
    </w:pPr>
    <w:rPr>
      <w:rFonts w:ascii="Times New Roman" w:hAnsi="Times New Roman" w:eastAsia="Tahoma" w:cs="Arial"/>
      <w:color w:val="00000A"/>
      <w:kern w:val="0"/>
      <w:sz w:val="22"/>
      <w:szCs w:val="24"/>
      <w:u w:val="single"/>
      <w:lang w:val="fr-FR" w:eastAsia="zh-CN" w:bidi="hi-IN"/>
    </w:rPr>
  </w:style>
  <w:style w:type="paragraph" w:styleId="Lienhypertextesuivivisit1" w:customStyle="1">
    <w:name w:val="Lien hypertexte suivi visité1"/>
    <w:qFormat/>
    <w:pPr>
      <w:widowControl/>
      <w:suppressAutoHyphens w:val="true"/>
      <w:bidi w:val="0"/>
      <w:spacing w:before="0" w:after="0"/>
      <w:jc w:val="left"/>
    </w:pPr>
    <w:rPr>
      <w:rFonts w:ascii="Times New Roman" w:hAnsi="Times New Roman" w:eastAsia="Tahoma" w:cs="Arial"/>
      <w:color w:val="00000A"/>
      <w:kern w:val="0"/>
      <w:sz w:val="22"/>
      <w:szCs w:val="24"/>
      <w:u w:val="single"/>
      <w:lang w:val="fr-FR" w:eastAsia="zh-CN" w:bidi="hi-IN"/>
    </w:rPr>
  </w:style>
  <w:style w:type="paragraph" w:styleId="Keyboard" w:customStyle="1">
    <w:name w:val="Keyboard"/>
    <w:qFormat/>
    <w:pPr>
      <w:widowControl/>
      <w:suppressAutoHyphens w:val="true"/>
      <w:bidi w:val="0"/>
      <w:spacing w:before="0" w:after="0"/>
      <w:jc w:val="left"/>
    </w:pPr>
    <w:rPr>
      <w:rFonts w:ascii="Courier New" w:hAnsi="Courier New" w:eastAsia="Tahoma" w:cs="Arial"/>
      <w:b/>
      <w:color w:val="00000A"/>
      <w:kern w:val="0"/>
      <w:sz w:val="20"/>
      <w:szCs w:val="24"/>
      <w:lang w:val="fr-FR" w:eastAsia="zh-CN" w:bidi="hi-IN"/>
    </w:rPr>
  </w:style>
  <w:style w:type="paragraph" w:styleId="Preformatted" w:customStyle="1">
    <w:name w:val="Preformatted"/>
    <w:qFormat/>
    <w:pPr>
      <w:widowControl/>
      <w:tabs>
        <w:tab w:val="clear" w:pos="709"/>
        <w:tab w:val="left" w:pos="0" w:leader="none"/>
        <w:tab w:val="left" w:pos="1692" w:leader="none"/>
        <w:tab w:val="left" w:pos="3383" w:leader="none"/>
        <w:tab w:val="left" w:pos="5075" w:leader="none"/>
        <w:tab w:val="left" w:pos="6766" w:leader="none"/>
        <w:tab w:val="left" w:pos="8458" w:leader="none"/>
        <w:tab w:val="left" w:pos="10149" w:leader="none"/>
        <w:tab w:val="left" w:pos="11841" w:leader="none"/>
        <w:tab w:val="left" w:pos="13533" w:leader="none"/>
        <w:tab w:val="left" w:pos="15224" w:leader="none"/>
        <w:tab w:val="left" w:pos="16916" w:leader="none"/>
      </w:tabs>
      <w:suppressAutoHyphens w:val="true"/>
      <w:bidi w:val="0"/>
      <w:spacing w:before="0" w:after="0"/>
      <w:jc w:val="left"/>
    </w:pPr>
    <w:rPr>
      <w:rFonts w:ascii="Courier New" w:hAnsi="Courier New" w:eastAsia="Tahoma" w:cs="Arial"/>
      <w:color w:val="00000A"/>
      <w:kern w:val="0"/>
      <w:sz w:val="20"/>
      <w:szCs w:val="24"/>
      <w:lang w:val="fr-FR" w:eastAsia="zh-CN" w:bidi="hi-IN"/>
    </w:rPr>
  </w:style>
  <w:style w:type="paragraph" w:styleId="Z-BottomofForm" w:customStyle="1">
    <w:name w:val="z-Bottom of Form"/>
    <w:qFormat/>
    <w:pPr>
      <w:widowControl/>
      <w:suppressAutoHyphens w:val="true"/>
      <w:bidi w:val="0"/>
      <w:spacing w:before="0" w:after="0"/>
      <w:jc w:val="center"/>
    </w:pPr>
    <w:rPr>
      <w:rFonts w:ascii="Arial" w:hAnsi="Arial" w:eastAsia="Tahoma" w:cs="Arial"/>
      <w:color w:val="00000A"/>
      <w:kern w:val="0"/>
      <w:sz w:val="16"/>
      <w:szCs w:val="24"/>
      <w:lang w:val="fr-FR" w:eastAsia="zh-CN" w:bidi="hi-IN"/>
    </w:rPr>
  </w:style>
  <w:style w:type="paragraph" w:styleId="Z-TopofForm" w:customStyle="1">
    <w:name w:val="z-Top of Form"/>
    <w:qFormat/>
    <w:pPr>
      <w:widowControl/>
      <w:suppressAutoHyphens w:val="true"/>
      <w:bidi w:val="0"/>
      <w:spacing w:before="0" w:after="0"/>
      <w:jc w:val="center"/>
    </w:pPr>
    <w:rPr>
      <w:rFonts w:ascii="Arial" w:hAnsi="Arial" w:eastAsia="Tahoma" w:cs="Arial"/>
      <w:color w:val="00000A"/>
      <w:kern w:val="0"/>
      <w:sz w:val="16"/>
      <w:szCs w:val="24"/>
      <w:lang w:val="fr-FR" w:eastAsia="zh-CN" w:bidi="hi-IN"/>
    </w:rPr>
  </w:style>
  <w:style w:type="paragraph" w:styleId="Sample" w:customStyle="1">
    <w:name w:val="Sample"/>
    <w:qFormat/>
    <w:pPr>
      <w:widowControl/>
      <w:suppressAutoHyphens w:val="true"/>
      <w:bidi w:val="0"/>
      <w:spacing w:before="0" w:after="0"/>
      <w:jc w:val="left"/>
    </w:pPr>
    <w:rPr>
      <w:rFonts w:ascii="Courier New" w:hAnsi="Courier New" w:eastAsia="Tahoma" w:cs="Arial"/>
      <w:color w:val="00000A"/>
      <w:kern w:val="0"/>
      <w:sz w:val="22"/>
      <w:szCs w:val="24"/>
      <w:lang w:val="fr-FR" w:eastAsia="zh-CN" w:bidi="hi-IN"/>
    </w:rPr>
  </w:style>
  <w:style w:type="paragraph" w:styleId="StrongEmphasis" w:customStyle="1">
    <w:name w:val="Strong Emphasis"/>
    <w:qFormat/>
    <w:pPr>
      <w:widowControl/>
      <w:suppressAutoHyphens w:val="true"/>
      <w:bidi w:val="0"/>
      <w:spacing w:before="0" w:after="0"/>
      <w:jc w:val="left"/>
    </w:pPr>
    <w:rPr>
      <w:rFonts w:ascii="Times New Roman" w:hAnsi="Times New Roman" w:eastAsia="Tahoma" w:cs="Arial"/>
      <w:b/>
      <w:color w:val="00000A"/>
      <w:kern w:val="0"/>
      <w:sz w:val="22"/>
      <w:szCs w:val="24"/>
      <w:lang w:val="fr-FR" w:eastAsia="zh-CN" w:bidi="hi-IN"/>
    </w:rPr>
  </w:style>
  <w:style w:type="paragraph" w:styleId="Typewriter" w:customStyle="1">
    <w:name w:val="Typewriter"/>
    <w:qFormat/>
    <w:pPr>
      <w:widowControl/>
      <w:suppressAutoHyphens w:val="true"/>
      <w:bidi w:val="0"/>
      <w:spacing w:before="0" w:after="0"/>
      <w:jc w:val="left"/>
    </w:pPr>
    <w:rPr>
      <w:rFonts w:ascii="Courier New" w:hAnsi="Courier New" w:eastAsia="Tahoma" w:cs="Arial"/>
      <w:color w:val="00000A"/>
      <w:kern w:val="0"/>
      <w:sz w:val="20"/>
      <w:szCs w:val="24"/>
      <w:lang w:val="fr-FR" w:eastAsia="zh-CN" w:bidi="hi-IN"/>
    </w:rPr>
  </w:style>
  <w:style w:type="paragraph" w:styleId="Variable" w:customStyle="1">
    <w:name w:val="Variable"/>
    <w:qFormat/>
    <w:pPr>
      <w:widowControl/>
      <w:suppressAutoHyphens w:val="true"/>
      <w:bidi w:val="0"/>
      <w:spacing w:before="0" w:after="0"/>
      <w:jc w:val="left"/>
    </w:pPr>
    <w:rPr>
      <w:rFonts w:ascii="Times New Roman" w:hAnsi="Times New Roman" w:eastAsia="Tahoma" w:cs="Arial"/>
      <w:i/>
      <w:color w:val="00000A"/>
      <w:kern w:val="0"/>
      <w:sz w:val="22"/>
      <w:szCs w:val="24"/>
      <w:lang w:val="fr-FR" w:eastAsia="zh-CN" w:bidi="hi-IN"/>
    </w:rPr>
  </w:style>
  <w:style w:type="paragraph" w:styleId="HTMLMarkup" w:customStyle="1">
    <w:name w:val="HTML Markup"/>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Comment" w:customStyle="1">
    <w:name w:val="Comment"/>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BalloonText">
    <w:name w:val="Balloon Text"/>
    <w:basedOn w:val="Normal"/>
    <w:link w:val="TextedebullesCar"/>
    <w:uiPriority w:val="99"/>
    <w:semiHidden/>
    <w:unhideWhenUsed/>
    <w:qFormat/>
    <w:rsid w:val="004c0278"/>
    <w:pPr/>
    <w:rPr>
      <w:rFonts w:ascii="Segoe UI" w:hAnsi="Segoe UI" w:cs="Segoe UI"/>
      <w:sz w:val="18"/>
      <w:szCs w:val="18"/>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numbering" w:styleId="WW8Num40" w:customStyle="1">
    <w:name w:val="WW8Num40"/>
    <w:qFormat/>
  </w:style>
  <w:style w:type="numbering" w:styleId="WW8Num41" w:customStyle="1">
    <w:name w:val="WW8Num41"/>
    <w:qFormat/>
  </w:style>
  <w:style w:type="numbering" w:styleId="WW8Num42" w:customStyle="1">
    <w:name w:val="WW8Num42"/>
    <w:qFormat/>
  </w:style>
  <w:style w:type="numbering" w:styleId="WW8Num43" w:customStyle="1">
    <w:name w:val="WW8Num43"/>
    <w:qFormat/>
  </w:style>
  <w:style w:type="numbering" w:styleId="WW8Num44" w:customStyle="1">
    <w:name w:val="WW8Num44"/>
    <w:qFormat/>
  </w:style>
  <w:style w:type="numbering" w:styleId="WW8Num45" w:customStyle="1">
    <w:name w:val="WW8Num45"/>
    <w:qFormat/>
  </w:style>
  <w:style w:type="numbering" w:styleId="WW8Num46" w:customStyle="1">
    <w:name w:val="WW8Num46"/>
    <w:qFormat/>
  </w:style>
  <w:style w:type="numbering" w:styleId="WW8Num47" w:customStyle="1">
    <w:name w:val="WW8Num47"/>
    <w:qFormat/>
  </w:style>
  <w:style w:type="numbering" w:styleId="WW8Num48" w:customStyle="1">
    <w:name w:val="WW8Num48"/>
    <w:qFormat/>
  </w:style>
  <w:style w:type="numbering" w:styleId="WW8Num49" w:customStyle="1">
    <w:name w:val="WW8Num49"/>
    <w:qFormat/>
  </w:style>
  <w:style w:type="numbering" w:styleId="WW8Num50" w:customStyle="1">
    <w:name w:val="WW8Num50"/>
    <w:qFormat/>
  </w:style>
  <w:style w:type="numbering" w:styleId="WW8Num51" w:customStyle="1">
    <w:name w:val="WW8Num51"/>
    <w:qFormat/>
  </w:style>
  <w:style w:type="numbering" w:styleId="WW8Num52" w:customStyle="1">
    <w:name w:val="WW8Num52"/>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ddt-batiment-accessibilite@doubs.gouv.fr" TargetMode="External"/><Relationship Id="rId4" Type="http://schemas.openxmlformats.org/officeDocument/2006/relationships/control" Target="activeX/activeX1.xml"/><Relationship Id="rId5" Type="http://schemas.openxmlformats.org/officeDocument/2006/relationships/control" Target="activeX/activeX2.xml"/><Relationship Id="rId6" Type="http://schemas.openxmlformats.org/officeDocument/2006/relationships/control" Target="activeX/activeX3.xml"/><Relationship Id="rId7" Type="http://schemas.openxmlformats.org/officeDocument/2006/relationships/control" Target="activeX/activeX4.xml"/><Relationship Id="rId8" Type="http://schemas.openxmlformats.org/officeDocument/2006/relationships/control" Target="activeX/activeX5.xml"/><Relationship Id="rId9" Type="http://schemas.openxmlformats.org/officeDocument/2006/relationships/control" Target="activeX/activeX6.xml"/><Relationship Id="rId10" Type="http://schemas.openxmlformats.org/officeDocument/2006/relationships/control" Target="activeX/activeX7.xml"/><Relationship Id="rId11" Type="http://schemas.openxmlformats.org/officeDocument/2006/relationships/control" Target="activeX/activeX8.xml"/><Relationship Id="rId12" Type="http://schemas.openxmlformats.org/officeDocument/2006/relationships/control" Target="activeX/activeX9.xml"/><Relationship Id="rId13" Type="http://schemas.openxmlformats.org/officeDocument/2006/relationships/control" Target="activeX/activeX10.xml"/><Relationship Id="rId14" Type="http://schemas.openxmlformats.org/officeDocument/2006/relationships/control" Target="activeX/activeX11.xml"/><Relationship Id="rId15" Type="http://schemas.openxmlformats.org/officeDocument/2006/relationships/control" Target="activeX/activeX12.xml"/><Relationship Id="rId16" Type="http://schemas.openxmlformats.org/officeDocument/2006/relationships/control" Target="activeX/activeX13.xml"/><Relationship Id="rId17" Type="http://schemas.openxmlformats.org/officeDocument/2006/relationships/control" Target="activeX/activeX14.xml"/><Relationship Id="rId18" Type="http://schemas.openxmlformats.org/officeDocument/2006/relationships/control" Target="activeX/activeX15.xml"/><Relationship Id="rId19" Type="http://schemas.openxmlformats.org/officeDocument/2006/relationships/control" Target="activeX/activeX16.xml"/><Relationship Id="rId20" Type="http://schemas.openxmlformats.org/officeDocument/2006/relationships/control" Target="activeX/activeX17.xml"/><Relationship Id="rId21" Type="http://schemas.openxmlformats.org/officeDocument/2006/relationships/control" Target="activeX/activeX18.xml"/><Relationship Id="rId22" Type="http://schemas.openxmlformats.org/officeDocument/2006/relationships/control" Target="activeX/activeX19.xml"/><Relationship Id="rId23" Type="http://schemas.openxmlformats.org/officeDocument/2006/relationships/control" Target="activeX/activeX20.xml"/><Relationship Id="rId24" Type="http://schemas.openxmlformats.org/officeDocument/2006/relationships/control" Target="activeX/activeX21.xml"/><Relationship Id="rId25" Type="http://schemas.openxmlformats.org/officeDocument/2006/relationships/control" Target="activeX/activeX22.xml"/><Relationship Id="rId26" Type="http://schemas.openxmlformats.org/officeDocument/2006/relationships/control" Target="activeX/activeX23.xml"/><Relationship Id="rId27" Type="http://schemas.openxmlformats.org/officeDocument/2006/relationships/control" Target="activeX/activeX24.xml"/><Relationship Id="rId28" Type="http://schemas.openxmlformats.org/officeDocument/2006/relationships/control" Target="activeX/activeX25.xml"/><Relationship Id="rId29" Type="http://schemas.openxmlformats.org/officeDocument/2006/relationships/control" Target="activeX/activeX26.xml"/><Relationship Id="rId30" Type="http://schemas.openxmlformats.org/officeDocument/2006/relationships/image" Target="media/image2.png"/><Relationship Id="rId31" Type="http://schemas.openxmlformats.org/officeDocument/2006/relationships/footer" Target="footer1.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D229F-2604-49CE-9D63-5D2D7C7C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38CFFA74.dotm</Template>
  <TotalTime>115</TotalTime>
  <Application>LibreOffice/7.5.7.1.M1$Windows_X86_64 LibreOffice_project/9d4bf91ba30c991aaed3b97dd4173f7705c6b5ae</Application>
  <AppVersion>15.0000</AppVersion>
  <Pages>14</Pages>
  <Words>2956</Words>
  <Characters>16834</Characters>
  <CharactersWithSpaces>19588</CharactersWithSpaces>
  <Paragraphs>216</Paragraphs>
  <Company>Communauté d'Agglomération du Grand Besançon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2022-07-25T13:05:50Z</dcterms:created>
  <dc:creator/>
  <dc:description/>
  <dc:language>fr-FR</dc:language>
  <cp:lastModifiedBy>Jean-Paul Depenau</cp:lastModifiedBy>
  <dcterms:modified xsi:type="dcterms:W3CDTF">2024-04-08T09:08:17Z</dcterms:modified>
  <cp:revision>22</cp:revision>
  <dc:subject/>
  <dc:title>Notice descriptive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